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A16F7" w14:textId="4E54171F" w:rsidR="00D469AD" w:rsidRPr="00270F68" w:rsidRDefault="001628AD" w:rsidP="001628AD">
      <w:pPr>
        <w:jc w:val="center"/>
        <w:rPr>
          <w:rFonts w:cstheme="minorHAnsi"/>
          <w:b/>
          <w:bCs/>
          <w:sz w:val="32"/>
          <w:szCs w:val="32"/>
        </w:rPr>
      </w:pPr>
      <w:r w:rsidRPr="00270F68">
        <w:rPr>
          <w:rFonts w:cstheme="minorHAnsi"/>
          <w:b/>
          <w:bCs/>
          <w:sz w:val="32"/>
          <w:szCs w:val="32"/>
        </w:rPr>
        <w:t>Term</w:t>
      </w:r>
      <w:r w:rsidR="00D469AD" w:rsidRPr="00270F68">
        <w:rPr>
          <w:rFonts w:cstheme="minorHAnsi"/>
          <w:b/>
          <w:bCs/>
          <w:sz w:val="32"/>
          <w:szCs w:val="32"/>
        </w:rPr>
        <w:t>s</w:t>
      </w:r>
      <w:r w:rsidRPr="00270F68">
        <w:rPr>
          <w:rFonts w:cstheme="minorHAnsi"/>
          <w:b/>
          <w:bCs/>
          <w:sz w:val="32"/>
          <w:szCs w:val="32"/>
        </w:rPr>
        <w:t xml:space="preserve"> of Reference</w:t>
      </w:r>
    </w:p>
    <w:p w14:paraId="104C3C71" w14:textId="4D8B41BA" w:rsidR="004663C3" w:rsidRPr="00270F68" w:rsidRDefault="001628AD" w:rsidP="001628AD">
      <w:pPr>
        <w:jc w:val="center"/>
        <w:rPr>
          <w:rFonts w:cstheme="minorHAnsi"/>
          <w:b/>
          <w:bCs/>
          <w:sz w:val="24"/>
          <w:szCs w:val="24"/>
        </w:rPr>
      </w:pPr>
      <w:r w:rsidRPr="00270F68">
        <w:rPr>
          <w:rFonts w:cstheme="minorHAnsi"/>
          <w:b/>
          <w:bCs/>
          <w:sz w:val="24"/>
          <w:szCs w:val="24"/>
        </w:rPr>
        <w:t xml:space="preserve">Technical and Environmental &amp; Social Support </w:t>
      </w:r>
      <w:r w:rsidR="00D469AD" w:rsidRPr="00270F68">
        <w:rPr>
          <w:rFonts w:cstheme="minorHAnsi"/>
          <w:b/>
          <w:bCs/>
          <w:sz w:val="24"/>
          <w:szCs w:val="24"/>
        </w:rPr>
        <w:br/>
      </w:r>
      <w:r w:rsidRPr="00270F68">
        <w:rPr>
          <w:rFonts w:cstheme="minorHAnsi"/>
          <w:b/>
          <w:bCs/>
          <w:sz w:val="24"/>
          <w:szCs w:val="24"/>
        </w:rPr>
        <w:t xml:space="preserve">for Wind IPP Transaction </w:t>
      </w:r>
      <w:r w:rsidR="00CD1B2A" w:rsidRPr="00270F68">
        <w:rPr>
          <w:rFonts w:cstheme="minorHAnsi"/>
          <w:b/>
          <w:bCs/>
          <w:sz w:val="24"/>
          <w:szCs w:val="24"/>
        </w:rPr>
        <w:t>D</w:t>
      </w:r>
      <w:r w:rsidRPr="00270F68">
        <w:rPr>
          <w:rFonts w:cstheme="minorHAnsi"/>
          <w:b/>
          <w:bCs/>
          <w:sz w:val="24"/>
          <w:szCs w:val="24"/>
        </w:rPr>
        <w:t>evelopment in Mongolia</w:t>
      </w:r>
    </w:p>
    <w:p w14:paraId="25405904" w14:textId="2B09EBA0" w:rsidR="001628AD" w:rsidRPr="00270F68" w:rsidRDefault="001628AD" w:rsidP="00F2067C">
      <w:pPr>
        <w:pStyle w:val="Heading1"/>
      </w:pPr>
      <w:r w:rsidRPr="00270F68">
        <w:t xml:space="preserve">Background </w:t>
      </w:r>
    </w:p>
    <w:p w14:paraId="2686E9AC" w14:textId="653DEB2A" w:rsidR="00366727" w:rsidRPr="00270F68" w:rsidRDefault="00366727" w:rsidP="00366727">
      <w:pPr>
        <w:rPr>
          <w:rFonts w:cstheme="minorHAnsi"/>
        </w:rPr>
      </w:pPr>
      <w:r w:rsidRPr="00270F68">
        <w:rPr>
          <w:rFonts w:cstheme="minorHAnsi"/>
        </w:rPr>
        <w:t>The Government of Mongolia (GoM) has made important strides in increasing its generation capacity in the face of steady demand growth</w:t>
      </w:r>
      <w:r w:rsidR="004579C8" w:rsidRPr="00270F68">
        <w:rPr>
          <w:rFonts w:cstheme="minorHAnsi"/>
        </w:rPr>
        <w:t xml:space="preserve">. </w:t>
      </w:r>
      <w:r w:rsidRPr="00270F68">
        <w:rPr>
          <w:rFonts w:cstheme="minorHAnsi"/>
        </w:rPr>
        <w:t>Following decades of self-managed and self-financed investments in the energy sector, the Go</w:t>
      </w:r>
      <w:r w:rsidR="004579C8" w:rsidRPr="00270F68">
        <w:rPr>
          <w:rFonts w:cstheme="minorHAnsi"/>
        </w:rPr>
        <w:t>M</w:t>
      </w:r>
      <w:r w:rsidRPr="00270F68">
        <w:rPr>
          <w:rFonts w:cstheme="minorHAnsi"/>
        </w:rPr>
        <w:t xml:space="preserve"> is now looking to crowd in the private sector. Historically, all electricity infrastructure development has been centrally planned and publicly financed. This has caused significant macro-financial constraints which are widely seen as unsustainable in the long run. In addition, the utilities have struggled to keep up with the pace of upgrades required (systems, tools, and human resources) to match the growth in the sector. While the utilities have generally performed well on technical aspects of designing and executing large-scale infrastructure development projects, much more needs to be done to develop skills for newer renewable </w:t>
      </w:r>
      <w:r w:rsidR="00D469AD" w:rsidRPr="00270F68">
        <w:rPr>
          <w:rFonts w:cstheme="minorHAnsi"/>
        </w:rPr>
        <w:t xml:space="preserve">energy </w:t>
      </w:r>
      <w:r w:rsidRPr="00270F68">
        <w:rPr>
          <w:rFonts w:cstheme="minorHAnsi"/>
        </w:rPr>
        <w:t>technologies. Consequently, the Go</w:t>
      </w:r>
      <w:r w:rsidR="004579C8" w:rsidRPr="00270F68">
        <w:rPr>
          <w:rFonts w:cstheme="minorHAnsi"/>
        </w:rPr>
        <w:t>M</w:t>
      </w:r>
      <w:r w:rsidRPr="00270F68">
        <w:rPr>
          <w:rFonts w:cstheme="minorHAnsi"/>
        </w:rPr>
        <w:t xml:space="preserve"> is looking to invite private sector to participate in the power generation segment (as independent power producers, IPPs), and to bring in commercial capital and sustainable financing structures, augment technical know-how, as well as improve the implementation speed of the energy sector.</w:t>
      </w:r>
    </w:p>
    <w:p w14:paraId="2DC137CF" w14:textId="1EADAE9B" w:rsidR="00366727" w:rsidRPr="00270F68" w:rsidRDefault="004579C8" w:rsidP="00366727">
      <w:pPr>
        <w:rPr>
          <w:rFonts w:cstheme="minorHAnsi"/>
        </w:rPr>
      </w:pPr>
      <w:r w:rsidRPr="00270F68">
        <w:rPr>
          <w:rFonts w:cstheme="minorHAnsi"/>
        </w:rPr>
        <w:t xml:space="preserve">A recent study of Mongolia’s renewable energy potential by Everoze suggests that the country possesses </w:t>
      </w:r>
      <w:r w:rsidR="00D469AD" w:rsidRPr="00270F68">
        <w:rPr>
          <w:rFonts w:cstheme="minorHAnsi"/>
        </w:rPr>
        <w:t xml:space="preserve">excellent solar and wind resources, including </w:t>
      </w:r>
      <w:r w:rsidRPr="00270F68">
        <w:rPr>
          <w:rFonts w:cstheme="minorHAnsi"/>
        </w:rPr>
        <w:t xml:space="preserve">a technical potential of </w:t>
      </w:r>
      <w:r w:rsidR="00D469AD" w:rsidRPr="00270F68">
        <w:rPr>
          <w:rFonts w:cstheme="minorHAnsi"/>
        </w:rPr>
        <w:t xml:space="preserve">287 </w:t>
      </w:r>
      <w:r w:rsidRPr="00270F68">
        <w:rPr>
          <w:rFonts w:cstheme="minorHAnsi"/>
        </w:rPr>
        <w:t>GW of wind.</w:t>
      </w:r>
      <w:r w:rsidR="00366727" w:rsidRPr="00270F68">
        <w:rPr>
          <w:rFonts w:cstheme="minorHAnsi"/>
        </w:rPr>
        <w:t xml:space="preserve"> </w:t>
      </w:r>
      <w:r w:rsidRPr="00270F68">
        <w:rPr>
          <w:rFonts w:cstheme="minorHAnsi"/>
        </w:rPr>
        <w:t xml:space="preserve">The </w:t>
      </w:r>
      <w:r w:rsidR="00366727" w:rsidRPr="00270F68">
        <w:rPr>
          <w:rFonts w:cstheme="minorHAnsi"/>
        </w:rPr>
        <w:t>Go</w:t>
      </w:r>
      <w:r w:rsidRPr="00270F68">
        <w:rPr>
          <w:rFonts w:cstheme="minorHAnsi"/>
        </w:rPr>
        <w:t>M</w:t>
      </w:r>
      <w:r w:rsidR="00366727" w:rsidRPr="00270F68">
        <w:rPr>
          <w:rFonts w:cstheme="minorHAnsi"/>
        </w:rPr>
        <w:t xml:space="preserve"> is keen on scaling-up its efforts for exploitation of wind resources in </w:t>
      </w:r>
      <w:r w:rsidRPr="00270F68">
        <w:rPr>
          <w:rFonts w:cstheme="minorHAnsi"/>
        </w:rPr>
        <w:t>Mongolia</w:t>
      </w:r>
      <w:r w:rsidR="00366727" w:rsidRPr="00270F68">
        <w:rPr>
          <w:rFonts w:cstheme="minorHAnsi"/>
        </w:rPr>
        <w:t xml:space="preserve"> and is considering several sites for wind IPP development. The World Bank Group (WBG) </w:t>
      </w:r>
      <w:r w:rsidRPr="00270F68">
        <w:rPr>
          <w:rFonts w:cstheme="minorHAnsi"/>
        </w:rPr>
        <w:t xml:space="preserve">have been </w:t>
      </w:r>
      <w:r w:rsidR="00366727" w:rsidRPr="00270F68">
        <w:rPr>
          <w:rFonts w:cstheme="minorHAnsi"/>
        </w:rPr>
        <w:t>providing technical assistance by assisting in the analysis</w:t>
      </w:r>
      <w:r w:rsidRPr="00270F68">
        <w:rPr>
          <w:rFonts w:cstheme="minorHAnsi"/>
        </w:rPr>
        <w:t xml:space="preserve">. </w:t>
      </w:r>
      <w:r w:rsidR="00366727" w:rsidRPr="00270F68">
        <w:rPr>
          <w:rFonts w:cstheme="minorHAnsi"/>
        </w:rPr>
        <w:t xml:space="preserve">E&amp;S considerations are particularly critical for the sustainable development of the wind sector in the country. </w:t>
      </w:r>
      <w:r w:rsidR="00C32997" w:rsidRPr="00270F68">
        <w:rPr>
          <w:rFonts w:cstheme="minorHAnsi"/>
        </w:rPr>
        <w:t xml:space="preserve">Mongolia is located at the junction of three migratory flyways and contains globally significant breeding grounds of threatened species. </w:t>
      </w:r>
      <w:r w:rsidR="00D469AD" w:rsidRPr="00270F68">
        <w:rPr>
          <w:rFonts w:cstheme="minorHAnsi"/>
        </w:rPr>
        <w:t xml:space="preserve">In this regards, </w:t>
      </w:r>
      <w:r w:rsidR="00366727" w:rsidRPr="00270F68">
        <w:rPr>
          <w:rFonts w:cstheme="minorHAnsi"/>
        </w:rPr>
        <w:t>early screening, identification and assessment of key E&amp;S risks</w:t>
      </w:r>
      <w:r w:rsidR="00D469AD" w:rsidRPr="00270F68">
        <w:rPr>
          <w:rFonts w:cstheme="minorHAnsi"/>
        </w:rPr>
        <w:t xml:space="preserve"> (</w:t>
      </w:r>
      <w:r w:rsidR="00366727" w:rsidRPr="00270F68">
        <w:rPr>
          <w:rFonts w:cstheme="minorHAnsi"/>
        </w:rPr>
        <w:t xml:space="preserve">primarily those related to land acquisition/resettlement and potential bird </w:t>
      </w:r>
      <w:r w:rsidR="00C32997" w:rsidRPr="00270F68">
        <w:rPr>
          <w:rFonts w:cstheme="minorHAnsi"/>
        </w:rPr>
        <w:t>and bat</w:t>
      </w:r>
      <w:r w:rsidR="00E76903" w:rsidRPr="00270F68">
        <w:rPr>
          <w:rFonts w:cstheme="minorHAnsi"/>
        </w:rPr>
        <w:t xml:space="preserve"> impacts</w:t>
      </w:r>
      <w:r w:rsidR="00D469AD" w:rsidRPr="00270F68">
        <w:rPr>
          <w:rFonts w:cstheme="minorHAnsi"/>
        </w:rPr>
        <w:t>) are key factors in de-bottlenecking investment opportunities in wind IPP development</w:t>
      </w:r>
      <w:r w:rsidR="00366727" w:rsidRPr="00270F68">
        <w:rPr>
          <w:rFonts w:cstheme="minorHAnsi"/>
        </w:rPr>
        <w:t xml:space="preserve">. Factoring in these risks upstream of the transaction process allows for a more sustainable project design and de-risking </w:t>
      </w:r>
      <w:r w:rsidR="00D469AD" w:rsidRPr="00270F68">
        <w:rPr>
          <w:rFonts w:cstheme="minorHAnsi"/>
        </w:rPr>
        <w:t xml:space="preserve">of </w:t>
      </w:r>
      <w:r w:rsidR="00366727" w:rsidRPr="00270F68">
        <w:rPr>
          <w:rFonts w:cstheme="minorHAnsi"/>
        </w:rPr>
        <w:t xml:space="preserve">wind IPP development.  The World Bank Group is interested in identifying and integrating E&amp;S risks to the furthest extent possibly upstream of the finalization of the site selection.   </w:t>
      </w:r>
    </w:p>
    <w:p w14:paraId="57D285A1" w14:textId="6E7BC3CF" w:rsidR="00A403EA" w:rsidRPr="00270F68" w:rsidRDefault="00A403EA" w:rsidP="00A403EA">
      <w:pPr>
        <w:rPr>
          <w:rFonts w:cstheme="minorHAnsi"/>
        </w:rPr>
      </w:pPr>
      <w:r w:rsidRPr="00270F68">
        <w:rPr>
          <w:rFonts w:cstheme="minorHAnsi"/>
        </w:rPr>
        <w:t>Following a review, t</w:t>
      </w:r>
      <w:r w:rsidR="00366727" w:rsidRPr="00270F68">
        <w:rPr>
          <w:rFonts w:cstheme="minorHAnsi"/>
        </w:rPr>
        <w:t>he Government is considering three sites</w:t>
      </w:r>
      <w:r w:rsidR="00D469AD" w:rsidRPr="00270F68">
        <w:rPr>
          <w:rFonts w:cstheme="minorHAnsi"/>
        </w:rPr>
        <w:t xml:space="preserve"> for wind IPP development</w:t>
      </w:r>
      <w:r w:rsidRPr="00270F68">
        <w:rPr>
          <w:rFonts w:cstheme="minorHAnsi"/>
        </w:rPr>
        <w:t>:</w:t>
      </w:r>
    </w:p>
    <w:p w14:paraId="2C226F81" w14:textId="083EE07F" w:rsidR="00A403EA" w:rsidRPr="00270F68" w:rsidRDefault="00A403EA" w:rsidP="00C00C79">
      <w:pPr>
        <w:pStyle w:val="Bullet"/>
      </w:pPr>
      <w:r w:rsidRPr="00270F68">
        <w:t>Mandalgobi, near to 220/110/35kV substation (20km). 247km away from Ulaanbaatar</w:t>
      </w:r>
      <w:r w:rsidR="00420579" w:rsidRPr="00270F68">
        <w:t>;</w:t>
      </w:r>
      <w:r w:rsidRPr="00270F68">
        <w:t xml:space="preserve"> 4-5 hours by car. Flights are not available.  </w:t>
      </w:r>
    </w:p>
    <w:p w14:paraId="401C7A82" w14:textId="7716AEBA" w:rsidR="00A403EA" w:rsidRPr="00270F68" w:rsidRDefault="00A403EA" w:rsidP="00C00C79">
      <w:pPr>
        <w:pStyle w:val="Bullet"/>
      </w:pPr>
      <w:r w:rsidRPr="00270F68">
        <w:t>Choir, near to 220/110/35kV substation (22km). 226km away from Ulaanbaatar. 3-4 hours by ca</w:t>
      </w:r>
      <w:r w:rsidR="00420579" w:rsidRPr="00270F68">
        <w:t>r</w:t>
      </w:r>
      <w:r w:rsidRPr="00270F68">
        <w:t xml:space="preserve">. Flights are not available. </w:t>
      </w:r>
    </w:p>
    <w:p w14:paraId="01FDC120" w14:textId="267A20BC" w:rsidR="00A403EA" w:rsidRPr="00270F68" w:rsidRDefault="00A403EA" w:rsidP="00C00C79">
      <w:pPr>
        <w:pStyle w:val="Bullet"/>
      </w:pPr>
      <w:r w:rsidRPr="00270F68">
        <w:t>Darkhan, near to 220/110/35kV substation (18km). 228km away from Ulaanbaatar. 3-4 hours by car. Flights are not available.</w:t>
      </w:r>
    </w:p>
    <w:p w14:paraId="1DECCDE4" w14:textId="6E2B4856" w:rsidR="00D469AD" w:rsidRPr="00270F68" w:rsidRDefault="00262502" w:rsidP="00366727">
      <w:pPr>
        <w:rPr>
          <w:rFonts w:cstheme="minorHAnsi"/>
        </w:rPr>
      </w:pPr>
      <w:r w:rsidRPr="00270F68">
        <w:rPr>
          <w:rFonts w:cstheme="minorHAnsi"/>
        </w:rPr>
        <w:t>Two</w:t>
      </w:r>
      <w:r w:rsidR="00D469AD" w:rsidRPr="00270F68">
        <w:rPr>
          <w:rFonts w:cstheme="minorHAnsi"/>
        </w:rPr>
        <w:t xml:space="preserve"> more sites </w:t>
      </w:r>
      <w:r w:rsidR="00DA2A5F" w:rsidRPr="00270F68">
        <w:rPr>
          <w:rFonts w:cstheme="minorHAnsi"/>
        </w:rPr>
        <w:t xml:space="preserve">– to be </w:t>
      </w:r>
      <w:r w:rsidR="00D469AD" w:rsidRPr="00270F68">
        <w:rPr>
          <w:rFonts w:cstheme="minorHAnsi"/>
        </w:rPr>
        <w:t xml:space="preserve">selected </w:t>
      </w:r>
      <w:r w:rsidR="0036328E" w:rsidRPr="00270F68">
        <w:rPr>
          <w:rFonts w:cstheme="minorHAnsi"/>
        </w:rPr>
        <w:t>as part of this assignment</w:t>
      </w:r>
      <w:r w:rsidR="00DA2A5F" w:rsidRPr="00270F68">
        <w:rPr>
          <w:rFonts w:cstheme="minorHAnsi"/>
        </w:rPr>
        <w:t xml:space="preserve"> - will also be contemplated</w:t>
      </w:r>
      <w:r w:rsidR="00D469AD" w:rsidRPr="00270F68">
        <w:rPr>
          <w:rFonts w:cstheme="minorHAnsi"/>
        </w:rPr>
        <w:t xml:space="preserve">. </w:t>
      </w:r>
      <w:r w:rsidR="00C00C79" w:rsidRPr="00270F68">
        <w:rPr>
          <w:rFonts w:cstheme="minorHAnsi"/>
        </w:rPr>
        <w:t>T</w:t>
      </w:r>
      <w:r w:rsidR="00D469AD" w:rsidRPr="00270F68">
        <w:rPr>
          <w:rFonts w:cstheme="minorHAnsi"/>
        </w:rPr>
        <w:t xml:space="preserve">hese </w:t>
      </w:r>
      <w:r w:rsidR="00F9426E" w:rsidRPr="00270F68">
        <w:rPr>
          <w:rFonts w:cstheme="minorHAnsi"/>
        </w:rPr>
        <w:t>[5]</w:t>
      </w:r>
      <w:r w:rsidR="00C00C79" w:rsidRPr="00270F68">
        <w:rPr>
          <w:rFonts w:cstheme="minorHAnsi"/>
        </w:rPr>
        <w:t xml:space="preserve"> sites </w:t>
      </w:r>
      <w:r w:rsidR="00D469AD" w:rsidRPr="00270F68">
        <w:rPr>
          <w:rFonts w:cstheme="minorHAnsi"/>
        </w:rPr>
        <w:t xml:space="preserve">will constitute the “long list” of potential sites </w:t>
      </w:r>
      <w:r w:rsidR="00697FA2" w:rsidRPr="00270F68">
        <w:rPr>
          <w:rFonts w:cstheme="minorHAnsi"/>
        </w:rPr>
        <w:t xml:space="preserve">that will be subject to site visits and may ultimately </w:t>
      </w:r>
      <w:r w:rsidR="00D469AD" w:rsidRPr="00270F68">
        <w:rPr>
          <w:rFonts w:cstheme="minorHAnsi"/>
        </w:rPr>
        <w:t xml:space="preserve">be </w:t>
      </w:r>
      <w:r w:rsidR="00143856" w:rsidRPr="00270F68">
        <w:rPr>
          <w:rFonts w:cstheme="minorHAnsi"/>
        </w:rPr>
        <w:t xml:space="preserve">target sites for </w:t>
      </w:r>
      <w:r w:rsidR="00D469AD" w:rsidRPr="00270F68">
        <w:rPr>
          <w:rFonts w:cstheme="minorHAnsi"/>
        </w:rPr>
        <w:t>a “Scaling Wind” engagement</w:t>
      </w:r>
      <w:r w:rsidR="00EE5DDF" w:rsidRPr="00270F68">
        <w:rPr>
          <w:rFonts w:cstheme="minorHAnsi"/>
        </w:rPr>
        <w:t xml:space="preserve">, depending on the outcomes of E&amp;S and further technical </w:t>
      </w:r>
      <w:r w:rsidR="00EE5DDF" w:rsidRPr="00270F68">
        <w:rPr>
          <w:rFonts w:cstheme="minorHAnsi"/>
        </w:rPr>
        <w:lastRenderedPageBreak/>
        <w:t>assessment</w:t>
      </w:r>
      <w:r w:rsidR="00D469AD" w:rsidRPr="00270F68">
        <w:rPr>
          <w:rFonts w:cstheme="minorHAnsi"/>
        </w:rPr>
        <w:t xml:space="preserve">. At present, none of these sites has been screened </w:t>
      </w:r>
      <w:r w:rsidR="00990637" w:rsidRPr="00270F68">
        <w:rPr>
          <w:rFonts w:cstheme="minorHAnsi"/>
        </w:rPr>
        <w:t xml:space="preserve">for biodiversity or social risks, nor </w:t>
      </w:r>
      <w:r w:rsidR="007A3BA5" w:rsidRPr="00270F68">
        <w:rPr>
          <w:rFonts w:cstheme="minorHAnsi"/>
        </w:rPr>
        <w:t xml:space="preserve">have they been reviewed </w:t>
      </w:r>
      <w:r w:rsidR="00D469AD" w:rsidRPr="00270F68">
        <w:rPr>
          <w:rFonts w:cstheme="minorHAnsi"/>
        </w:rPr>
        <w:t xml:space="preserve">at a </w:t>
      </w:r>
      <w:r w:rsidR="00990637" w:rsidRPr="00270F68">
        <w:rPr>
          <w:rFonts w:cstheme="minorHAnsi"/>
        </w:rPr>
        <w:t xml:space="preserve">more </w:t>
      </w:r>
      <w:r w:rsidR="00D469AD" w:rsidRPr="00270F68">
        <w:rPr>
          <w:rFonts w:cstheme="minorHAnsi"/>
        </w:rPr>
        <w:t>detailed level from a technical standpoint</w:t>
      </w:r>
      <w:r w:rsidR="00927D33" w:rsidRPr="00270F68">
        <w:rPr>
          <w:rFonts w:cstheme="minorHAnsi"/>
        </w:rPr>
        <w:t>.</w:t>
      </w:r>
    </w:p>
    <w:p w14:paraId="69E99193" w14:textId="6369194A" w:rsidR="001628AD" w:rsidRPr="00270F68" w:rsidRDefault="001628AD" w:rsidP="00F2067C">
      <w:pPr>
        <w:pStyle w:val="Heading1"/>
      </w:pPr>
      <w:r w:rsidRPr="00270F68">
        <w:t xml:space="preserve">Objective </w:t>
      </w:r>
    </w:p>
    <w:p w14:paraId="08012AF3" w14:textId="0E04E986" w:rsidR="001628AD" w:rsidRPr="00270F68" w:rsidRDefault="001628AD" w:rsidP="00C00C79">
      <w:pPr>
        <w:ind w:right="61"/>
        <w:rPr>
          <w:rFonts w:cstheme="minorHAnsi"/>
        </w:rPr>
      </w:pPr>
      <w:r w:rsidRPr="00270F68">
        <w:rPr>
          <w:rFonts w:cstheme="minorHAnsi"/>
        </w:rPr>
        <w:t>Within the above outlined context, the IFC wishes to engage a Consultant to</w:t>
      </w:r>
      <w:r w:rsidR="00156C33" w:rsidRPr="00270F68">
        <w:rPr>
          <w:rFonts w:cstheme="minorHAnsi"/>
        </w:rPr>
        <w:t xml:space="preserve"> identify </w:t>
      </w:r>
      <w:r w:rsidR="00927D33" w:rsidRPr="00270F68">
        <w:rPr>
          <w:rFonts w:cstheme="minorHAnsi"/>
        </w:rPr>
        <w:t>the “long list” of sites</w:t>
      </w:r>
      <w:r w:rsidR="00156C33" w:rsidRPr="00270F68">
        <w:rPr>
          <w:rFonts w:cstheme="minorHAnsi"/>
        </w:rPr>
        <w:t xml:space="preserve">, visit these sites </w:t>
      </w:r>
      <w:r w:rsidR="00927D33" w:rsidRPr="00270F68">
        <w:rPr>
          <w:rFonts w:cstheme="minorHAnsi"/>
        </w:rPr>
        <w:t xml:space="preserve">and </w:t>
      </w:r>
      <w:r w:rsidR="00D469AD" w:rsidRPr="00270F68">
        <w:rPr>
          <w:rFonts w:cstheme="minorHAnsi"/>
        </w:rPr>
        <w:t xml:space="preserve">work with the WBG </w:t>
      </w:r>
      <w:r w:rsidR="00C00C79" w:rsidRPr="00270F68">
        <w:rPr>
          <w:rFonts w:cstheme="minorHAnsi"/>
        </w:rPr>
        <w:t xml:space="preserve">and GoM </w:t>
      </w:r>
      <w:r w:rsidR="00D469AD" w:rsidRPr="00270F68">
        <w:rPr>
          <w:rFonts w:cstheme="minorHAnsi"/>
        </w:rPr>
        <w:t xml:space="preserve">to </w:t>
      </w:r>
      <w:r w:rsidR="00927D33" w:rsidRPr="00270F68">
        <w:rPr>
          <w:rFonts w:cstheme="minorHAnsi"/>
        </w:rPr>
        <w:t>priorit</w:t>
      </w:r>
      <w:r w:rsidR="00C00C79" w:rsidRPr="00270F68">
        <w:rPr>
          <w:rFonts w:cstheme="minorHAnsi"/>
        </w:rPr>
        <w:t>ize</w:t>
      </w:r>
      <w:r w:rsidR="00927D33" w:rsidRPr="00270F68">
        <w:rPr>
          <w:rFonts w:cstheme="minorHAnsi"/>
        </w:rPr>
        <w:t xml:space="preserve"> </w:t>
      </w:r>
      <w:r w:rsidR="00156C33" w:rsidRPr="00270F68">
        <w:rPr>
          <w:rFonts w:cstheme="minorHAnsi"/>
        </w:rPr>
        <w:t xml:space="preserve">the </w:t>
      </w:r>
      <w:r w:rsidR="00D469AD" w:rsidRPr="00270F68">
        <w:rPr>
          <w:rFonts w:cstheme="minorHAnsi"/>
        </w:rPr>
        <w:t>sites</w:t>
      </w:r>
      <w:r w:rsidR="00927D33" w:rsidRPr="00270F68">
        <w:rPr>
          <w:rFonts w:cstheme="minorHAnsi"/>
        </w:rPr>
        <w:t xml:space="preserve"> based on</w:t>
      </w:r>
      <w:r w:rsidR="00C00C79" w:rsidRPr="00270F68">
        <w:rPr>
          <w:rFonts w:cstheme="minorHAnsi"/>
        </w:rPr>
        <w:t xml:space="preserve"> </w:t>
      </w:r>
      <w:r w:rsidR="00E76903" w:rsidRPr="00270F68">
        <w:rPr>
          <w:rFonts w:cstheme="minorHAnsi"/>
        </w:rPr>
        <w:t xml:space="preserve">an integrated technical and E&amp;S screening that considers </w:t>
      </w:r>
      <w:r w:rsidR="00C00C79" w:rsidRPr="00270F68">
        <w:rPr>
          <w:rFonts w:cstheme="minorHAnsi"/>
        </w:rPr>
        <w:t xml:space="preserve">technical criteria (e.g </w:t>
      </w:r>
      <w:r w:rsidR="00927D33" w:rsidRPr="00270F68">
        <w:rPr>
          <w:rFonts w:cstheme="minorHAnsi"/>
        </w:rPr>
        <w:t>grid integration, geotechnical conditions, logistical considerations and wind conditions</w:t>
      </w:r>
      <w:r w:rsidR="00C00C79" w:rsidRPr="00270F68">
        <w:rPr>
          <w:rFonts w:cstheme="minorHAnsi"/>
        </w:rPr>
        <w:t xml:space="preserve">), </w:t>
      </w:r>
      <w:r w:rsidRPr="00270F68">
        <w:rPr>
          <w:rFonts w:cstheme="minorHAnsi"/>
        </w:rPr>
        <w:t xml:space="preserve">E&amp;S </w:t>
      </w:r>
      <w:r w:rsidR="00C00C79" w:rsidRPr="00270F68">
        <w:rPr>
          <w:rFonts w:cstheme="minorHAnsi"/>
        </w:rPr>
        <w:t xml:space="preserve">criteria (high-level </w:t>
      </w:r>
      <w:r w:rsidRPr="00270F68">
        <w:rPr>
          <w:rFonts w:cstheme="minorHAnsi"/>
        </w:rPr>
        <w:t>risk screening of the sites, focusing on social and biodiversity aspects</w:t>
      </w:r>
      <w:r w:rsidR="00C00C79" w:rsidRPr="00270F68">
        <w:rPr>
          <w:rFonts w:cstheme="minorHAnsi"/>
        </w:rPr>
        <w:t>) and financial criteria (e.g. likely cost of generation)</w:t>
      </w:r>
      <w:r w:rsidRPr="00270F68">
        <w:rPr>
          <w:rFonts w:cstheme="minorHAnsi"/>
        </w:rPr>
        <w:t>.</w:t>
      </w:r>
      <w:r w:rsidR="00990637" w:rsidRPr="00270F68">
        <w:rPr>
          <w:rFonts w:cstheme="minorHAnsi"/>
        </w:rPr>
        <w:t xml:space="preserve"> The objective is to identify a shortlist of sites for full project preparation activities that have the highest technical potential but least E&amp;S risk.</w:t>
      </w:r>
    </w:p>
    <w:p w14:paraId="22D85CCA" w14:textId="03735B78" w:rsidR="001628AD" w:rsidRPr="00270F68" w:rsidRDefault="001628AD" w:rsidP="00F2067C">
      <w:pPr>
        <w:pStyle w:val="Heading1"/>
      </w:pPr>
      <w:r w:rsidRPr="00270F68">
        <w:t xml:space="preserve">Scope of Work </w:t>
      </w:r>
    </w:p>
    <w:p w14:paraId="3031633B" w14:textId="44CC91D0" w:rsidR="001628AD" w:rsidRPr="00270F68" w:rsidRDefault="001628AD" w:rsidP="001628AD">
      <w:pPr>
        <w:rPr>
          <w:rFonts w:cstheme="minorHAnsi"/>
        </w:rPr>
      </w:pPr>
      <w:r w:rsidRPr="00270F68">
        <w:rPr>
          <w:rFonts w:cstheme="minorHAnsi"/>
        </w:rPr>
        <w:t xml:space="preserve">The Scope of Work is designed to integrate technical and E&amp;S aspects. </w:t>
      </w:r>
      <w:r w:rsidR="003F14CE" w:rsidRPr="00270F68">
        <w:rPr>
          <w:rFonts w:cstheme="minorHAnsi"/>
        </w:rPr>
        <w:t>As such, t</w:t>
      </w:r>
      <w:r w:rsidRPr="00270F68">
        <w:rPr>
          <w:rFonts w:cstheme="minorHAnsi"/>
        </w:rPr>
        <w:t>he Consultant will require an integrated team in order to ensure that both workstreams are based on shared information and an approach that adequately addresses both technical and E&amp;S risks. With respect to E&amp;S components all tasks should be carried out in alignment with the following IFC E&amp;S requirements:</w:t>
      </w:r>
    </w:p>
    <w:p w14:paraId="71B888CD" w14:textId="77777777" w:rsidR="001628AD" w:rsidRPr="00270F68" w:rsidRDefault="001628AD" w:rsidP="00C00C79">
      <w:pPr>
        <w:pStyle w:val="Bullet"/>
      </w:pPr>
      <w:r w:rsidRPr="00270F68">
        <w:t>World Bank’s  </w:t>
      </w:r>
      <w:hyperlink r:id="rId8" w:tgtFrame="_blank" w:history="1">
        <w:r w:rsidRPr="00270F68">
          <w:t>Environmental and Social Standards</w:t>
        </w:r>
      </w:hyperlink>
      <w:r w:rsidRPr="00270F68">
        <w:t> (ESS) (2018)</w:t>
      </w:r>
      <w:r w:rsidRPr="00270F68">
        <w:rPr>
          <w:rStyle w:val="FootnoteReference"/>
        </w:rPr>
        <w:footnoteReference w:id="1"/>
      </w:r>
    </w:p>
    <w:p w14:paraId="4F650D6B" w14:textId="77777777" w:rsidR="001628AD" w:rsidRPr="00270F68" w:rsidRDefault="001628AD" w:rsidP="00C00C79">
      <w:pPr>
        <w:pStyle w:val="Bullet"/>
      </w:pPr>
      <w:r w:rsidRPr="00270F68">
        <w:t>IFC's Environmental and Social Performance Standards (2012) and Guidance Notes</w:t>
      </w:r>
      <w:r w:rsidRPr="00270F68">
        <w:rPr>
          <w:rStyle w:val="FootnoteReference"/>
        </w:rPr>
        <w:footnoteReference w:id="2"/>
      </w:r>
    </w:p>
    <w:p w14:paraId="72C09FE7" w14:textId="63EE1053" w:rsidR="001628AD" w:rsidRPr="00270F68" w:rsidRDefault="001628AD" w:rsidP="00C00C79">
      <w:pPr>
        <w:pStyle w:val="Bullet"/>
      </w:pPr>
      <w:r w:rsidRPr="00270F68">
        <w:t>IFC’s General EHS Guidelines (2007)</w:t>
      </w:r>
      <w:r w:rsidRPr="00270F68">
        <w:rPr>
          <w:rStyle w:val="FootnoteReference"/>
        </w:rPr>
        <w:footnoteReference w:id="3"/>
      </w:r>
    </w:p>
    <w:p w14:paraId="62C35F8C" w14:textId="0D92CD6D" w:rsidR="001628AD" w:rsidRPr="00270F68" w:rsidRDefault="001628AD" w:rsidP="00C00C79">
      <w:pPr>
        <w:pStyle w:val="Bullet"/>
      </w:pPr>
      <w:r w:rsidRPr="00270F68">
        <w:t>IFC’s EHS Guidelines for Wind Energy (2015)</w:t>
      </w:r>
      <w:r w:rsidRPr="00270F68">
        <w:rPr>
          <w:rStyle w:val="FootnoteReference"/>
        </w:rPr>
        <w:footnoteReference w:id="4"/>
      </w:r>
    </w:p>
    <w:p w14:paraId="53DF7E67" w14:textId="29D69385" w:rsidR="00A134D8" w:rsidRPr="00270F68" w:rsidRDefault="00A134D8" w:rsidP="00C00C79">
      <w:pPr>
        <w:pStyle w:val="Bullet"/>
      </w:pPr>
      <w:r w:rsidRPr="00270F68">
        <w:t>IFC’s EHS Guidelines for Power Transmission and Distribution (2007)</w:t>
      </w:r>
    </w:p>
    <w:p w14:paraId="254FC141" w14:textId="02DAF1F2" w:rsidR="001628AD" w:rsidRPr="00270F68" w:rsidRDefault="00306A26" w:rsidP="001628AD">
      <w:pPr>
        <w:ind w:right="61"/>
        <w:rPr>
          <w:rFonts w:eastAsia="Times New Roman" w:cstheme="minorHAnsi"/>
        </w:rPr>
      </w:pPr>
      <w:r w:rsidRPr="00270F68">
        <w:rPr>
          <w:rFonts w:eastAsia="Times New Roman" w:cstheme="minorHAnsi"/>
        </w:rPr>
        <w:t>The work is split into the following four Tasks:</w:t>
      </w:r>
    </w:p>
    <w:p w14:paraId="7190D9E7" w14:textId="1DB81828" w:rsidR="00C00C79" w:rsidRPr="00270F68" w:rsidRDefault="00C00C79" w:rsidP="00A134D8">
      <w:pPr>
        <w:pStyle w:val="Heading2"/>
        <w:ind w:left="0"/>
      </w:pPr>
      <w:r w:rsidRPr="00270F68">
        <w:t xml:space="preserve">Task 1: Kick-Off </w:t>
      </w:r>
      <w:r w:rsidR="000F6DC5" w:rsidRPr="00270F68">
        <w:t>Meeting</w:t>
      </w:r>
      <w:r w:rsidR="007A3BA5" w:rsidRPr="00270F68">
        <w:t xml:space="preserve"> and screening methodology</w:t>
      </w:r>
    </w:p>
    <w:p w14:paraId="50B62AB4" w14:textId="58478AC7" w:rsidR="0072007E" w:rsidRPr="00270F68" w:rsidRDefault="000F6DC5" w:rsidP="00C00C79">
      <w:pPr>
        <w:rPr>
          <w:rFonts w:cstheme="minorHAnsi"/>
          <w:lang w:val="en-GB"/>
        </w:rPr>
      </w:pPr>
      <w:r w:rsidRPr="00270F68">
        <w:rPr>
          <w:rFonts w:cstheme="minorHAnsi"/>
          <w:lang w:val="en-GB"/>
        </w:rPr>
        <w:t>The Consultant will organize an initial Kick-Off Meeting with WBG and GoM representatives to review the study objectives</w:t>
      </w:r>
      <w:r w:rsidR="0018071C" w:rsidRPr="00270F68">
        <w:rPr>
          <w:rFonts w:cstheme="minorHAnsi"/>
          <w:lang w:val="en-GB"/>
        </w:rPr>
        <w:t xml:space="preserve">, review available data on the three sites </w:t>
      </w:r>
      <w:r w:rsidR="00044C65" w:rsidRPr="00270F68">
        <w:rPr>
          <w:rFonts w:cstheme="minorHAnsi"/>
          <w:lang w:val="en-GB"/>
        </w:rPr>
        <w:t xml:space="preserve">already selected and identify geographical areas where the team’s desktop review will focus. It is expected that </w:t>
      </w:r>
      <w:r w:rsidR="00A52B9B" w:rsidRPr="00270F68">
        <w:rPr>
          <w:rFonts w:cstheme="minorHAnsi"/>
          <w:lang w:val="en-GB"/>
        </w:rPr>
        <w:t xml:space="preserve">this work will be largely guided by previous work undertaken on </w:t>
      </w:r>
      <w:r w:rsidR="008C2CE3" w:rsidRPr="00270F68">
        <w:rPr>
          <w:rFonts w:cstheme="minorHAnsi"/>
          <w:lang w:val="en-GB"/>
        </w:rPr>
        <w:t>wind potential by Everoze, which identified zones</w:t>
      </w:r>
      <w:r w:rsidR="0057220A" w:rsidRPr="00270F68">
        <w:rPr>
          <w:rFonts w:cstheme="minorHAnsi"/>
          <w:lang w:val="en-GB"/>
        </w:rPr>
        <w:t xml:space="preserve"> with high potential from a technical standpoint</w:t>
      </w:r>
      <w:r w:rsidR="00C63BDD" w:rsidRPr="00270F68">
        <w:rPr>
          <w:rFonts w:cstheme="minorHAnsi"/>
          <w:lang w:val="en-GB"/>
        </w:rPr>
        <w:t>.</w:t>
      </w:r>
      <w:r w:rsidR="003229CE" w:rsidRPr="00270F68">
        <w:rPr>
          <w:rStyle w:val="FootnoteReference"/>
          <w:rFonts w:cstheme="minorHAnsi"/>
          <w:lang w:val="en-GB"/>
        </w:rPr>
        <w:footnoteReference w:id="5"/>
      </w:r>
      <w:r w:rsidR="008C2CE3" w:rsidRPr="00270F68">
        <w:rPr>
          <w:rFonts w:cstheme="minorHAnsi"/>
          <w:lang w:val="en-GB"/>
        </w:rPr>
        <w:t xml:space="preserve"> </w:t>
      </w:r>
      <w:r w:rsidR="00044C65" w:rsidRPr="00270F68">
        <w:rPr>
          <w:rFonts w:cstheme="minorHAnsi"/>
          <w:lang w:val="en-GB"/>
        </w:rPr>
        <w:t xml:space="preserve"> </w:t>
      </w:r>
    </w:p>
    <w:p w14:paraId="3B165EBF" w14:textId="5912372F" w:rsidR="00EE5DDF" w:rsidRPr="00270F68" w:rsidRDefault="000F6DC5" w:rsidP="00EE5DDF">
      <w:pPr>
        <w:pStyle w:val="Bullet"/>
        <w:widowControl w:val="0"/>
        <w:numPr>
          <w:ilvl w:val="0"/>
          <w:numId w:val="0"/>
        </w:numPr>
        <w:spacing w:after="60" w:line="252" w:lineRule="auto"/>
      </w:pPr>
      <w:r w:rsidRPr="00270F68">
        <w:rPr>
          <w:lang w:val="en-GB"/>
        </w:rPr>
        <w:t xml:space="preserve">Ahead of this meeting it is expected that the Consultant will </w:t>
      </w:r>
      <w:r w:rsidR="00C91C68" w:rsidRPr="00270F68">
        <w:rPr>
          <w:lang w:val="en-GB"/>
        </w:rPr>
        <w:t xml:space="preserve">develop an integrated </w:t>
      </w:r>
      <w:r w:rsidR="0003553F" w:rsidRPr="00270F68">
        <w:rPr>
          <w:lang w:val="en-GB"/>
        </w:rPr>
        <w:t xml:space="preserve">technical and </w:t>
      </w:r>
      <w:r w:rsidR="002C0EAD" w:rsidRPr="00270F68">
        <w:rPr>
          <w:lang w:val="en-GB"/>
        </w:rPr>
        <w:t xml:space="preserve">E&amp;S </w:t>
      </w:r>
      <w:r w:rsidR="00C91C68" w:rsidRPr="00270F68">
        <w:rPr>
          <w:lang w:val="en-GB"/>
        </w:rPr>
        <w:t xml:space="preserve">screening methodology </w:t>
      </w:r>
      <w:r w:rsidR="006721D8" w:rsidRPr="00270F68">
        <w:rPr>
          <w:lang w:val="en-GB"/>
        </w:rPr>
        <w:t xml:space="preserve">that will be </w:t>
      </w:r>
      <w:r w:rsidR="00AC648C" w:rsidRPr="00270F68">
        <w:rPr>
          <w:lang w:val="en-GB"/>
        </w:rPr>
        <w:t>appl</w:t>
      </w:r>
      <w:r w:rsidR="006721D8" w:rsidRPr="00270F68">
        <w:rPr>
          <w:lang w:val="en-GB"/>
        </w:rPr>
        <w:t xml:space="preserve">ied to develop the long list of sites in Task 3. </w:t>
      </w:r>
      <w:r w:rsidR="00AC648C" w:rsidRPr="00270F68">
        <w:rPr>
          <w:lang w:val="en-GB"/>
        </w:rPr>
        <w:t xml:space="preserve"> </w:t>
      </w:r>
      <w:r w:rsidR="006721D8" w:rsidRPr="00270F68">
        <w:rPr>
          <w:lang w:val="en-GB"/>
        </w:rPr>
        <w:t>It is also expected that the Consultant will</w:t>
      </w:r>
      <w:r w:rsidR="00AC648C" w:rsidRPr="00270F68">
        <w:rPr>
          <w:lang w:val="en-GB"/>
        </w:rPr>
        <w:t xml:space="preserve"> </w:t>
      </w:r>
      <w:r w:rsidR="00C63BDD" w:rsidRPr="00270F68">
        <w:rPr>
          <w:lang w:val="en-GB"/>
        </w:rPr>
        <w:t>prepare a</w:t>
      </w:r>
      <w:r w:rsidRPr="00270F68">
        <w:rPr>
          <w:lang w:val="en-GB"/>
        </w:rPr>
        <w:t xml:space="preserve"> </w:t>
      </w:r>
      <w:r w:rsidR="00B6523F" w:rsidRPr="00270F68">
        <w:rPr>
          <w:lang w:val="en-GB"/>
        </w:rPr>
        <w:t xml:space="preserve">preliminary </w:t>
      </w:r>
      <w:r w:rsidR="00C63BDD" w:rsidRPr="00270F68">
        <w:rPr>
          <w:lang w:val="en-GB"/>
        </w:rPr>
        <w:t xml:space="preserve">list of </w:t>
      </w:r>
      <w:r w:rsidR="00B36353" w:rsidRPr="00270F68">
        <w:rPr>
          <w:lang w:val="en-GB"/>
        </w:rPr>
        <w:t>zones/areas that should be the focus for the long list</w:t>
      </w:r>
      <w:r w:rsidR="001D4F12" w:rsidRPr="00270F68">
        <w:rPr>
          <w:lang w:val="en-GB"/>
        </w:rPr>
        <w:t xml:space="preserve"> screening in Task 2.</w:t>
      </w:r>
      <w:r w:rsidR="00BC2911" w:rsidRPr="00270F68">
        <w:rPr>
          <w:lang w:val="en-GB"/>
        </w:rPr>
        <w:t xml:space="preserve"> </w:t>
      </w:r>
      <w:r w:rsidR="00C20FE2" w:rsidRPr="00270F68">
        <w:rPr>
          <w:lang w:val="en-GB"/>
        </w:rPr>
        <w:t xml:space="preserve">The development of the preliminary list should incorporate a rapid environmental screening </w:t>
      </w:r>
      <w:r w:rsidR="00C20FE2" w:rsidRPr="00270F68">
        <w:t xml:space="preserve">to exclude, to the extent possible at this preliminary stage, the presence of red flag biodiversity issues. The scope will include Madalgobi, Choir and Darkan sites identified by the GOM, along with the </w:t>
      </w:r>
      <w:r w:rsidR="00C20FE2" w:rsidRPr="00270F68">
        <w:lastRenderedPageBreak/>
        <w:t>additional areas identified. This will help to ensure that resources are allocated in an efficient manner to viable sites. The rapid screening will use the Integrated Biodiversity Assessment Tool</w:t>
      </w:r>
      <w:r w:rsidR="00C20FE2" w:rsidRPr="00270F68">
        <w:rPr>
          <w:rStyle w:val="FootnoteReference"/>
        </w:rPr>
        <w:footnoteReference w:id="6"/>
      </w:r>
      <w:r w:rsidR="00C20FE2" w:rsidRPr="00270F68">
        <w:t xml:space="preserve"> [IBAT] or similar, datasets on migratory pathways, etc.), to review the three sites with respect to legally protected areas and internationally recognized areas</w:t>
      </w:r>
      <w:r w:rsidR="00C20FE2" w:rsidRPr="00270F68">
        <w:rPr>
          <w:rStyle w:val="FootnoteReference"/>
        </w:rPr>
        <w:footnoteReference w:id="7"/>
      </w:r>
      <w:r w:rsidR="00C20FE2" w:rsidRPr="00270F68">
        <w:t xml:space="preserve"> and habitats likely to host high risk species; and opportunistically identify other red flags, as possible. If red flag issues are identified, these will be discussed with IFC and the GoM.</w:t>
      </w:r>
    </w:p>
    <w:p w14:paraId="2A7A36E0" w14:textId="29624C50" w:rsidR="00C00C79" w:rsidRPr="00270F68" w:rsidRDefault="009615CC" w:rsidP="00C00C79">
      <w:r w:rsidRPr="00270F68">
        <w:rPr>
          <w:rFonts w:cstheme="minorHAnsi"/>
          <w:lang w:val="en-GB"/>
        </w:rPr>
        <w:t xml:space="preserve">During the KOM, the Consultant will review the </w:t>
      </w:r>
      <w:r w:rsidR="006721D8" w:rsidRPr="00270F68">
        <w:rPr>
          <w:rFonts w:cstheme="minorHAnsi"/>
          <w:lang w:val="en-GB"/>
        </w:rPr>
        <w:t xml:space="preserve">methodology and </w:t>
      </w:r>
      <w:r w:rsidRPr="00270F68">
        <w:rPr>
          <w:rFonts w:cstheme="minorHAnsi"/>
          <w:lang w:val="en-GB"/>
        </w:rPr>
        <w:t xml:space="preserve">criteria that will be used to prioritize the sites, including </w:t>
      </w:r>
      <w:r w:rsidR="002D5B27" w:rsidRPr="00270F68">
        <w:rPr>
          <w:rFonts w:cstheme="minorHAnsi"/>
          <w:lang w:val="en-GB"/>
        </w:rPr>
        <w:t>pass/fail criteria and ranking criteria (plus a “traffic light” system to assign scores).</w:t>
      </w:r>
    </w:p>
    <w:p w14:paraId="67DF6AFF" w14:textId="1E69AA7A" w:rsidR="00F65D8A" w:rsidRPr="00270F68" w:rsidRDefault="00F65D8A" w:rsidP="00DA2A5F">
      <w:pPr>
        <w:pStyle w:val="Heading2"/>
      </w:pPr>
      <w:r w:rsidRPr="00270F68">
        <w:t xml:space="preserve">Task 2. </w:t>
      </w:r>
      <w:r w:rsidR="00614331" w:rsidRPr="00270F68">
        <w:t>Desk</w:t>
      </w:r>
      <w:r w:rsidR="00040CA4" w:rsidRPr="00270F68">
        <w:t>top Screening and Identification of Long List</w:t>
      </w:r>
    </w:p>
    <w:p w14:paraId="63CB259A" w14:textId="0F3BC4ED" w:rsidR="00040CA4" w:rsidRPr="00270F68" w:rsidRDefault="00040CA4" w:rsidP="00040CA4">
      <w:r w:rsidRPr="00270F68">
        <w:t xml:space="preserve">The Consultant will undertake a </w:t>
      </w:r>
      <w:r w:rsidR="00B21AB9" w:rsidRPr="00270F68">
        <w:t xml:space="preserve">desktop </w:t>
      </w:r>
      <w:r w:rsidRPr="00270F68">
        <w:t>review o</w:t>
      </w:r>
      <w:r w:rsidR="00B21AB9" w:rsidRPr="00270F68">
        <w:t xml:space="preserve">f the </w:t>
      </w:r>
      <w:r w:rsidR="00C21A6C" w:rsidRPr="00270F68">
        <w:t>technical, financial</w:t>
      </w:r>
      <w:r w:rsidR="00EF2F0A" w:rsidRPr="00270F68">
        <w:t xml:space="preserve">, </w:t>
      </w:r>
      <w:r w:rsidR="00C21A6C" w:rsidRPr="00270F68">
        <w:t xml:space="preserve">environmental and social </w:t>
      </w:r>
      <w:r w:rsidR="0018610B" w:rsidRPr="00270F68">
        <w:t>context for new wind projects in Mongolia</w:t>
      </w:r>
      <w:r w:rsidR="00F1441E" w:rsidRPr="00270F68">
        <w:t xml:space="preserve"> with a </w:t>
      </w:r>
      <w:r w:rsidR="00820407" w:rsidRPr="00270F68">
        <w:t xml:space="preserve">focus on the </w:t>
      </w:r>
      <w:r w:rsidR="00805BB3" w:rsidRPr="00270F68">
        <w:t>priority zones identified in Task 1.</w:t>
      </w:r>
      <w:r w:rsidR="0014404D" w:rsidRPr="00270F68">
        <w:t xml:space="preserve"> </w:t>
      </w:r>
      <w:r w:rsidR="001D4F12" w:rsidRPr="00270F68">
        <w:t>Note that a portion of this work on the technical side has already been undertaken</w:t>
      </w:r>
      <w:r w:rsidR="00BC2911" w:rsidRPr="00270F68">
        <w:t xml:space="preserve"> by Everoze. </w:t>
      </w:r>
      <w:r w:rsidR="0014404D" w:rsidRPr="00270F68">
        <w:t>This screening will include the following:</w:t>
      </w:r>
    </w:p>
    <w:p w14:paraId="7E8494D0" w14:textId="3459792A" w:rsidR="008C5F47" w:rsidRPr="00270F68" w:rsidRDefault="008C5F47" w:rsidP="00E53DFB">
      <w:pPr>
        <w:pStyle w:val="Heading3"/>
      </w:pPr>
      <w:r w:rsidRPr="00270F68">
        <w:t xml:space="preserve">Task </w:t>
      </w:r>
      <w:r w:rsidR="00E82859" w:rsidRPr="00270F68">
        <w:t>2</w:t>
      </w:r>
      <w:r w:rsidRPr="00270F68">
        <w:t>.</w:t>
      </w:r>
      <w:r w:rsidR="00DA2A5F" w:rsidRPr="00270F68">
        <w:t>1</w:t>
      </w:r>
      <w:r w:rsidR="00DA2A5F" w:rsidRPr="00270F68">
        <w:tab/>
      </w:r>
      <w:r w:rsidRPr="00270F68">
        <w:t xml:space="preserve">E&amp;S Contextual Risk Review </w:t>
      </w:r>
    </w:p>
    <w:p w14:paraId="3F4DF349" w14:textId="4AB680A8" w:rsidR="008C5F47" w:rsidRPr="00270F68" w:rsidRDefault="008C5F47" w:rsidP="00E53DFB">
      <w:pPr>
        <w:pStyle w:val="L3text"/>
      </w:pPr>
      <w:r w:rsidRPr="00270F68">
        <w:t xml:space="preserve">Conduct a desktop review to identify and understand key E&amp;S/reputational risks and issues associated with energy projects (and others involving land acquisition) in </w:t>
      </w:r>
      <w:r w:rsidR="002F4360" w:rsidRPr="00270F68">
        <w:t>the identified areas</w:t>
      </w:r>
      <w:r w:rsidRPr="00270F68">
        <w:t>. The task should focus on supporting MOE in the identification of sensitive issues (e.g. alleged human rights violations associated with involuntary resettlement from mining and agricultural schemes) and potentially sensitive geographies (e.g. areas with Indigenous Peoples and/or recent political/civil disturbances related to land and resource control). The review should be informed by brief discussions with key informants in Mongolia. The review of risks should take place using a systematic process.</w:t>
      </w:r>
    </w:p>
    <w:p w14:paraId="0A38B25F" w14:textId="7AD3AFF8" w:rsidR="008C5F47" w:rsidRPr="00270F68" w:rsidRDefault="008C5F47" w:rsidP="00E53DFB">
      <w:pPr>
        <w:pStyle w:val="Heading3"/>
      </w:pPr>
      <w:r w:rsidRPr="00270F68">
        <w:t xml:space="preserve">Task </w:t>
      </w:r>
      <w:r w:rsidR="00E82859" w:rsidRPr="00270F68">
        <w:t>2</w:t>
      </w:r>
      <w:r w:rsidR="00AB7CE9" w:rsidRPr="00270F68">
        <w:t>.2</w:t>
      </w:r>
      <w:r w:rsidR="00AB7CE9" w:rsidRPr="00270F68">
        <w:tab/>
      </w:r>
      <w:r w:rsidRPr="00270F68">
        <w:t>E&amp;S Stakeholder Mapping</w:t>
      </w:r>
    </w:p>
    <w:p w14:paraId="3C1F97BD" w14:textId="269CE2C4" w:rsidR="008C5F47" w:rsidRPr="00270F68" w:rsidRDefault="008C5F47" w:rsidP="00E53DFB">
      <w:pPr>
        <w:pStyle w:val="L3text"/>
      </w:pPr>
      <w:r w:rsidRPr="00270F68">
        <w:t>Identify the most relevant stakeholders to engage in relation to understanding key E&amp;S risks and issues</w:t>
      </w:r>
      <w:r w:rsidR="00CB1530" w:rsidRPr="00270F68">
        <w:t xml:space="preserve"> in the identified areas</w:t>
      </w:r>
      <w:r w:rsidRPr="00270F68">
        <w:t xml:space="preserve">.  For biodiversity, this would include identification of  conservation organization and experts (e.g., </w:t>
      </w:r>
      <w:r w:rsidR="00FF1594" w:rsidRPr="00270F68">
        <w:t xml:space="preserve">at a minimum to include the Mongolian Ornithological Society, Wildlife Science and Conservation Center of Mongolia, Mongolian Academy of Science (Ornithological Laboratory), WCS, WWF, </w:t>
      </w:r>
      <w:r w:rsidRPr="00270F68">
        <w:t xml:space="preserve">relevant governmental authorities, other conservation organizations and/or universities). For social, this would include stakeholders </w:t>
      </w:r>
      <w:r w:rsidR="00BA0CD5" w:rsidRPr="00270F68">
        <w:t xml:space="preserve">and administrative institutions </w:t>
      </w:r>
      <w:r w:rsidRPr="00270F68">
        <w:t xml:space="preserve">related to land </w:t>
      </w:r>
      <w:r w:rsidR="00BA0CD5" w:rsidRPr="00270F68">
        <w:t xml:space="preserve">management, </w:t>
      </w:r>
      <w:r w:rsidRPr="00270F68">
        <w:t>acquisition and</w:t>
      </w:r>
      <w:r w:rsidR="00BA0CD5" w:rsidRPr="00270F68">
        <w:t>/or</w:t>
      </w:r>
      <w:r w:rsidRPr="00270F68">
        <w:t xml:space="preserve"> resettlement (including human rights concerns), labor/workforce, Indigenous Peoples, </w:t>
      </w:r>
      <w:r w:rsidR="006721D8" w:rsidRPr="00270F68">
        <w:t xml:space="preserve">and </w:t>
      </w:r>
      <w:r w:rsidRPr="00270F68">
        <w:t>cultural heritage</w:t>
      </w:r>
      <w:r w:rsidR="00BA0CD5" w:rsidRPr="00270F68">
        <w:t xml:space="preserve"> and cultural institutions, </w:t>
      </w:r>
      <w:r w:rsidRPr="00270F68">
        <w:t>as appropriate.</w:t>
      </w:r>
    </w:p>
    <w:p w14:paraId="47D6D4CC" w14:textId="5696B507" w:rsidR="008C5F47" w:rsidRPr="00270F68" w:rsidRDefault="008C5F47" w:rsidP="00E53DFB">
      <w:pPr>
        <w:pStyle w:val="Heading3"/>
      </w:pPr>
      <w:r w:rsidRPr="00270F68">
        <w:t xml:space="preserve">Task </w:t>
      </w:r>
      <w:r w:rsidR="00C20FE2" w:rsidRPr="00270F68">
        <w:t>2</w:t>
      </w:r>
      <w:r w:rsidR="00F01E15" w:rsidRPr="00270F68">
        <w:t>.3</w:t>
      </w:r>
      <w:r w:rsidR="00F01E15" w:rsidRPr="00270F68">
        <w:tab/>
      </w:r>
      <w:r w:rsidRPr="00270F68">
        <w:t>Rapid review of land acquisition and resettlement regulatory requirements</w:t>
      </w:r>
    </w:p>
    <w:p w14:paraId="17AE7F76" w14:textId="7EE5AA0C" w:rsidR="008C5F47" w:rsidRPr="00270F68" w:rsidRDefault="008C5F47" w:rsidP="00D35CC1">
      <w:pPr>
        <w:pStyle w:val="L3text"/>
      </w:pPr>
      <w:r w:rsidRPr="00270F68">
        <w:t>Develop a concise summary of key requirements and gaps/challenges faced in Mongolia when acquiring land for projects via leasing/expropriation/other means, based on publicly disclosed WBG/other Resettlement Policy Frameworks (RPFs), Resettlement Action Plans (RAPs) and the like. Based on this, develop a gaps assessment with respect to IFC’s Performance Standard 5 and the World Bank’s</w:t>
      </w:r>
      <w:r w:rsidR="00D35CC1" w:rsidRPr="00270F68">
        <w:rPr>
          <w:rFonts w:ascii="Times New Roman" w:eastAsia="Times New Roman" w:hAnsi="Times New Roman" w:cs="Times New Roman"/>
          <w:sz w:val="24"/>
          <w:szCs w:val="24"/>
        </w:rPr>
        <w:t xml:space="preserve"> </w:t>
      </w:r>
      <w:r w:rsidR="00D35CC1" w:rsidRPr="00270F68">
        <w:t>Environmental and Social Standard on Land Acquisition, Restrictions on Land Use and Involuntary Resettlement (ESS5)</w:t>
      </w:r>
      <w:r w:rsidRPr="00270F68">
        <w:t>.</w:t>
      </w:r>
    </w:p>
    <w:p w14:paraId="26AD7909" w14:textId="4BB97948" w:rsidR="008C5F47" w:rsidRPr="00270F68" w:rsidRDefault="008C5F47" w:rsidP="00E53DFB">
      <w:pPr>
        <w:pStyle w:val="Heading3"/>
      </w:pPr>
      <w:r w:rsidRPr="00270F68">
        <w:lastRenderedPageBreak/>
        <w:t xml:space="preserve">Task </w:t>
      </w:r>
      <w:r w:rsidR="00C20FE2" w:rsidRPr="00270F68">
        <w:t>2</w:t>
      </w:r>
      <w:r w:rsidR="00F01E15" w:rsidRPr="00270F68">
        <w:t>.4</w:t>
      </w:r>
      <w:r w:rsidR="00F01E15" w:rsidRPr="00270F68">
        <w:tab/>
      </w:r>
      <w:r w:rsidRPr="00270F68">
        <w:t xml:space="preserve">social site screening  </w:t>
      </w:r>
    </w:p>
    <w:p w14:paraId="68091D51" w14:textId="60D83936" w:rsidR="008C5F47" w:rsidRPr="00270F68" w:rsidRDefault="00DA3891" w:rsidP="00E53DFB">
      <w:pPr>
        <w:pStyle w:val="L3text"/>
      </w:pPr>
      <w:r w:rsidRPr="00270F68">
        <w:rPr>
          <w:rFonts w:eastAsia="Times New Roman"/>
        </w:rPr>
        <w:t>C</w:t>
      </w:r>
      <w:r w:rsidR="008C5F47" w:rsidRPr="00270F68">
        <w:rPr>
          <w:rFonts w:eastAsia="Times New Roman"/>
        </w:rPr>
        <w:t>onduct a high-level risk screening on socia</w:t>
      </w:r>
      <w:r w:rsidR="00A134D8" w:rsidRPr="00270F68">
        <w:rPr>
          <w:rFonts w:eastAsia="Times New Roman"/>
        </w:rPr>
        <w:t>l aspects for each site</w:t>
      </w:r>
      <w:r w:rsidR="008C5F47" w:rsidRPr="00270F68">
        <w:rPr>
          <w:rFonts w:eastAsia="Times New Roman"/>
        </w:rPr>
        <w:t>,</w:t>
      </w:r>
      <w:r w:rsidR="00A134D8" w:rsidRPr="00270F68">
        <w:rPr>
          <w:rFonts w:eastAsia="Times New Roman"/>
        </w:rPr>
        <w:t xml:space="preserve"> </w:t>
      </w:r>
      <w:r w:rsidR="008C5F47" w:rsidRPr="00270F68">
        <w:rPr>
          <w:rFonts w:eastAsia="Times New Roman"/>
        </w:rPr>
        <w:t>which would include</w:t>
      </w:r>
      <w:r w:rsidR="008C5F47" w:rsidRPr="00270F68">
        <w:t xml:space="preserve"> the use of recent satellite photos and GIS tools to map homes/structures, </w:t>
      </w:r>
      <w:r w:rsidR="00A134D8" w:rsidRPr="00270F68">
        <w:t xml:space="preserve">cultural heritage and sites of cultural significance, </w:t>
      </w:r>
      <w:r w:rsidR="008C5F47" w:rsidRPr="00270F68">
        <w:t xml:space="preserve">agricultural </w:t>
      </w:r>
      <w:r w:rsidR="00A134D8" w:rsidRPr="00270F68">
        <w:t xml:space="preserve">and other land </w:t>
      </w:r>
      <w:r w:rsidR="008C5F47" w:rsidRPr="00270F68">
        <w:t>use and other sensitive receptors</w:t>
      </w:r>
      <w:r w:rsidR="007016CE" w:rsidRPr="00270F68">
        <w:t>, such as springs, and other sources of water for herders,</w:t>
      </w:r>
      <w:r w:rsidR="008C5F47" w:rsidRPr="00270F68">
        <w:t xml:space="preserve"> and to estimate land acquisition and resettlement needs</w:t>
      </w:r>
      <w:r w:rsidR="00CB1530" w:rsidRPr="00270F68">
        <w:t xml:space="preserve"> (again, focused on the identified </w:t>
      </w:r>
      <w:r w:rsidR="003448B0" w:rsidRPr="00270F68">
        <w:t>areas)</w:t>
      </w:r>
      <w:r w:rsidR="008C5F47" w:rsidRPr="00270F68">
        <w:t xml:space="preserve">. </w:t>
      </w:r>
      <w:r w:rsidR="00A134D8" w:rsidRPr="00270F68">
        <w:t xml:space="preserve">Population density </w:t>
      </w:r>
      <w:r w:rsidR="007016CE" w:rsidRPr="00270F68">
        <w:t>will also be considered.</w:t>
      </w:r>
    </w:p>
    <w:p w14:paraId="38EA269A" w14:textId="6217AB53" w:rsidR="008C5F47" w:rsidRPr="00270F68" w:rsidRDefault="008C5F47" w:rsidP="00E53DFB">
      <w:pPr>
        <w:pStyle w:val="Heading3"/>
      </w:pPr>
      <w:r w:rsidRPr="00270F68">
        <w:t xml:space="preserve">Task </w:t>
      </w:r>
      <w:r w:rsidR="00C20FE2" w:rsidRPr="00270F68">
        <w:t>2</w:t>
      </w:r>
      <w:r w:rsidR="00042A9D" w:rsidRPr="00270F68">
        <w:t>.5</w:t>
      </w:r>
      <w:r w:rsidR="00042A9D" w:rsidRPr="00270F68">
        <w:tab/>
      </w:r>
      <w:r w:rsidRPr="00270F68">
        <w:t xml:space="preserve">biodiversity site screening </w:t>
      </w:r>
    </w:p>
    <w:p w14:paraId="09D7C6F4" w14:textId="4CA084F1" w:rsidR="008C5F47" w:rsidRPr="00270F68" w:rsidRDefault="006D2646" w:rsidP="00E53DFB">
      <w:pPr>
        <w:pStyle w:val="L3text"/>
        <w:spacing w:after="0"/>
        <w:ind w:left="274"/>
      </w:pPr>
      <w:r w:rsidRPr="00270F68">
        <w:t>Undertake</w:t>
      </w:r>
      <w:r w:rsidR="008C5F47" w:rsidRPr="00270F68">
        <w:t xml:space="preserve"> a high-level risk screening with respect to biodiversity</w:t>
      </w:r>
      <w:r w:rsidR="004B4406" w:rsidRPr="00270F68">
        <w:t xml:space="preserve"> </w:t>
      </w:r>
      <w:r w:rsidR="000A06F4" w:rsidRPr="00270F68">
        <w:t>for each of</w:t>
      </w:r>
      <w:r w:rsidR="004B4406" w:rsidRPr="00270F68">
        <w:t xml:space="preserve"> the </w:t>
      </w:r>
      <w:r w:rsidR="00132C7A" w:rsidRPr="00270F68">
        <w:t>candidate sites</w:t>
      </w:r>
      <w:r w:rsidR="002C49F1" w:rsidRPr="00270F68" w:rsidDel="002C49F1">
        <w:t xml:space="preserve"> </w:t>
      </w:r>
      <w:r w:rsidR="002C49F1" w:rsidRPr="00270F68">
        <w:t>i</w:t>
      </w:r>
      <w:r w:rsidR="008C5F47" w:rsidRPr="00270F68">
        <w:t>ncluding the following tasks:</w:t>
      </w:r>
    </w:p>
    <w:p w14:paraId="7D5F93F4" w14:textId="7C40B1CE" w:rsidR="00B7058E" w:rsidRPr="00270F68" w:rsidRDefault="00B7058E" w:rsidP="00B7058E">
      <w:pPr>
        <w:pStyle w:val="L3text"/>
        <w:numPr>
          <w:ilvl w:val="0"/>
          <w:numId w:val="9"/>
        </w:numPr>
        <w:ind w:left="634"/>
        <w:contextualSpacing/>
      </w:pPr>
      <w:r w:rsidRPr="00270F68">
        <w:t xml:space="preserve">Compile and analyze the quality of existing literature and spatial data on bird/bat species (notably soaring birds and </w:t>
      </w:r>
      <w:r w:rsidR="008861B5" w:rsidRPr="00270F68">
        <w:t xml:space="preserve">with </w:t>
      </w:r>
      <w:r w:rsidRPr="00270F68">
        <w:t>an emphasis on species-specific migration activity associated with the major flyways relevant for Mongolia: East Asia-Australasia, Central Asia and East Asia-East Africa</w:t>
      </w:r>
      <w:r w:rsidRPr="00270F68">
        <w:rPr>
          <w:rStyle w:val="FootnoteReference"/>
        </w:rPr>
        <w:footnoteReference w:id="8"/>
      </w:r>
      <w:r w:rsidRPr="00270F68">
        <w:t xml:space="preserve">) that may be at risk to wind energy development, including behavioral data (flight patterns); </w:t>
      </w:r>
    </w:p>
    <w:p w14:paraId="4FA386CA" w14:textId="6F11EBE1" w:rsidR="00132C7A" w:rsidRPr="00270F68" w:rsidRDefault="00132C7A" w:rsidP="008861B5">
      <w:pPr>
        <w:pStyle w:val="L3text"/>
        <w:numPr>
          <w:ilvl w:val="0"/>
          <w:numId w:val="9"/>
        </w:numPr>
        <w:ind w:left="634"/>
        <w:contextualSpacing/>
      </w:pPr>
      <w:r w:rsidRPr="00270F68">
        <w:t xml:space="preserve">Identify a spatial unit of analysis that includes a buffer area that takes into account the wide-ranging behavior of soaring birds, uncertainty in the final wind farm boundaries and potential associated facilities such as transmission lines, borrow pits or access roads, and indirect project impacts. </w:t>
      </w:r>
    </w:p>
    <w:p w14:paraId="6FF23031" w14:textId="54E0A8AC" w:rsidR="00AF13BD" w:rsidRPr="00270F68" w:rsidRDefault="007016CE" w:rsidP="00E6700C">
      <w:pPr>
        <w:pStyle w:val="L3text"/>
        <w:numPr>
          <w:ilvl w:val="0"/>
          <w:numId w:val="9"/>
        </w:numPr>
        <w:ind w:left="634"/>
        <w:contextualSpacing/>
      </w:pPr>
      <w:r w:rsidRPr="00270F68">
        <w:t>Using the outcomes of the literature</w:t>
      </w:r>
      <w:r w:rsidR="00917630" w:rsidRPr="00270F68">
        <w:t xml:space="preserve">, </w:t>
      </w:r>
      <w:r w:rsidRPr="00270F68">
        <w:t>data review,</w:t>
      </w:r>
      <w:r w:rsidR="00917630" w:rsidRPr="00270F68">
        <w:t xml:space="preserve"> and expert stakeholder consultation,</w:t>
      </w:r>
      <w:r w:rsidRPr="00270F68">
        <w:t xml:space="preserve"> develop</w:t>
      </w:r>
      <w:r w:rsidR="002024F6" w:rsidRPr="00270F68">
        <w:t xml:space="preserve"> a </w:t>
      </w:r>
      <w:r w:rsidR="00AF13BD" w:rsidRPr="00270F68">
        <w:t xml:space="preserve">list of </w:t>
      </w:r>
      <w:r w:rsidR="007D6F01" w:rsidRPr="00270F68">
        <w:t xml:space="preserve">priority biodiversity values, </w:t>
      </w:r>
      <w:r w:rsidRPr="00270F68">
        <w:t>and screen th</w:t>
      </w:r>
      <w:r w:rsidR="00917630" w:rsidRPr="00270F68">
        <w:t>o</w:t>
      </w:r>
      <w:r w:rsidRPr="00270F68">
        <w:t>se values against IFC PS6 critical habitat criteria to assess critical habitat status.</w:t>
      </w:r>
    </w:p>
    <w:p w14:paraId="0BB2AE41" w14:textId="3333EEC4" w:rsidR="002202FE" w:rsidRPr="00270F68" w:rsidRDefault="002202FE" w:rsidP="00E6700C">
      <w:pPr>
        <w:pStyle w:val="L3text"/>
        <w:numPr>
          <w:ilvl w:val="0"/>
          <w:numId w:val="9"/>
        </w:numPr>
        <w:ind w:left="634"/>
        <w:contextualSpacing/>
      </w:pPr>
      <w:r w:rsidRPr="00270F68">
        <w:t>Identify the presence of threatened ecosystems and natural habitat</w:t>
      </w:r>
    </w:p>
    <w:p w14:paraId="52D8E3ED" w14:textId="77777777" w:rsidR="00917630" w:rsidRPr="00270F68" w:rsidRDefault="00CD41CE" w:rsidP="00917630">
      <w:pPr>
        <w:pStyle w:val="L3text"/>
        <w:numPr>
          <w:ilvl w:val="0"/>
          <w:numId w:val="9"/>
        </w:numPr>
        <w:ind w:left="630"/>
      </w:pPr>
      <w:r w:rsidRPr="00270F68">
        <w:t>Using existing documentation and interpretation of global and regional datasets, produce a list of potential biodiversity risks which may occur within the area of assessment, or whose distribution intersects with the study areas.</w:t>
      </w:r>
    </w:p>
    <w:p w14:paraId="44DF8026" w14:textId="68727CA3" w:rsidR="00917630" w:rsidRPr="00270F68" w:rsidRDefault="00917630" w:rsidP="00917630">
      <w:pPr>
        <w:pStyle w:val="L3text"/>
        <w:numPr>
          <w:ilvl w:val="0"/>
          <w:numId w:val="9"/>
        </w:numPr>
        <w:ind w:left="630"/>
      </w:pPr>
      <w:r w:rsidRPr="00270F68">
        <w:t>Identify the importance of the area for priority bird species, based on Birdlife’s modelled area of habitat range maps</w:t>
      </w:r>
      <w:r w:rsidR="003A6EA8" w:rsidRPr="00270F68">
        <w:t xml:space="preserve"> or other available information</w:t>
      </w:r>
      <w:r w:rsidR="00271AFF" w:rsidRPr="00270F68">
        <w:t xml:space="preserve">. </w:t>
      </w:r>
      <w:r w:rsidR="00F102C6" w:rsidRPr="00270F68">
        <w:t>For species at high risk of collision with wind turbines due to flight behavior and/or wide-ranging movements</w:t>
      </w:r>
      <w:r w:rsidR="00271AFF" w:rsidRPr="00270F68">
        <w:t xml:space="preserve">, </w:t>
      </w:r>
      <w:r w:rsidR="00392058" w:rsidRPr="00270F68">
        <w:t>such as vultures</w:t>
      </w:r>
      <w:r w:rsidR="00437E75" w:rsidRPr="00270F68">
        <w:t xml:space="preserve"> and </w:t>
      </w:r>
      <w:r w:rsidR="00722E50" w:rsidRPr="00270F68">
        <w:t xml:space="preserve">large </w:t>
      </w:r>
      <w:r w:rsidR="00437E75" w:rsidRPr="00270F68">
        <w:t>eagles</w:t>
      </w:r>
      <w:r w:rsidR="00392058" w:rsidRPr="00270F68">
        <w:t xml:space="preserve">, </w:t>
      </w:r>
      <w:r w:rsidR="00722E50" w:rsidRPr="00270F68">
        <w:t xml:space="preserve">or highly threatened species, </w:t>
      </w:r>
      <w:r w:rsidR="00271AFF" w:rsidRPr="00270F68">
        <w:t>this should include the percentage of the area of analysis that is highly suitable for the species, based on movement analysis of tagged birds and modelling of habitat suitability based on observation records</w:t>
      </w:r>
      <w:r w:rsidR="00F102C6" w:rsidRPr="00270F68">
        <w:t>.</w:t>
      </w:r>
    </w:p>
    <w:p w14:paraId="04C9BCFA" w14:textId="049C89C1" w:rsidR="00917630" w:rsidRPr="00270F68" w:rsidRDefault="00917630" w:rsidP="00917630">
      <w:pPr>
        <w:pStyle w:val="L3text"/>
        <w:numPr>
          <w:ilvl w:val="0"/>
          <w:numId w:val="9"/>
        </w:numPr>
        <w:ind w:left="630"/>
      </w:pPr>
      <w:r w:rsidRPr="00270F68">
        <w:t>Identify the importance of the area for priority bat species, based on IUCN Red List range maps</w:t>
      </w:r>
    </w:p>
    <w:p w14:paraId="0CCD0467" w14:textId="619C9FAD" w:rsidR="008C5F47" w:rsidRPr="00270F68" w:rsidRDefault="008C5F47" w:rsidP="00E53DFB">
      <w:pPr>
        <w:pStyle w:val="L3text"/>
        <w:numPr>
          <w:ilvl w:val="0"/>
          <w:numId w:val="9"/>
        </w:numPr>
        <w:ind w:left="634"/>
        <w:contextualSpacing/>
      </w:pPr>
      <w:r w:rsidRPr="00270F68">
        <w:t>Using existing spatial data, identify potential topographical and other landscape features and/or locations that are associated with high risk factors for soaring birds</w:t>
      </w:r>
      <w:r w:rsidR="002202FE" w:rsidRPr="00270F68">
        <w:t xml:space="preserve"> and bats</w:t>
      </w:r>
      <w:r w:rsidRPr="00270F68">
        <w:t xml:space="preserve">;   </w:t>
      </w:r>
    </w:p>
    <w:p w14:paraId="302E9CBD" w14:textId="67C1E6B5" w:rsidR="008C5F47" w:rsidRPr="00270F68" w:rsidRDefault="008C5F47" w:rsidP="00E53DFB">
      <w:pPr>
        <w:pStyle w:val="L3text"/>
        <w:numPr>
          <w:ilvl w:val="0"/>
          <w:numId w:val="9"/>
        </w:numPr>
        <w:ind w:left="634"/>
        <w:contextualSpacing/>
      </w:pPr>
      <w:r w:rsidRPr="00270F68">
        <w:t>Identify any other high-risk species/habitats</w:t>
      </w:r>
      <w:r w:rsidR="00AF13BD" w:rsidRPr="00270F68">
        <w:t xml:space="preserve"> vulnerable</w:t>
      </w:r>
      <w:r w:rsidRPr="00270F68">
        <w:t xml:space="preserve"> to impacts from wind sector (e.g., species at risk of displacement, disturbance, habitat fragmentation, etc.); and,</w:t>
      </w:r>
    </w:p>
    <w:p w14:paraId="319F0F95" w14:textId="4518DE94" w:rsidR="00511E43" w:rsidRPr="00270F68" w:rsidRDefault="008C5F47" w:rsidP="00132C7A">
      <w:pPr>
        <w:pStyle w:val="L3text"/>
        <w:numPr>
          <w:ilvl w:val="0"/>
          <w:numId w:val="9"/>
        </w:numPr>
        <w:ind w:left="634"/>
        <w:contextualSpacing/>
      </w:pPr>
      <w:r w:rsidRPr="00270F68">
        <w:t>Spatial data should include all protected areas, Key Biodiversity Areas, Important Bird and Biodiversity Areas, Ramsar sites, Natural and Cultural World Heritage Sites and any other site of international and/or local conservation significance.</w:t>
      </w:r>
    </w:p>
    <w:p w14:paraId="615DAC82" w14:textId="77777777" w:rsidR="00132C7A" w:rsidRPr="00270F68" w:rsidRDefault="00132C7A" w:rsidP="008861B5">
      <w:pPr>
        <w:pStyle w:val="L3text"/>
        <w:contextualSpacing/>
      </w:pPr>
    </w:p>
    <w:p w14:paraId="21FADD3F" w14:textId="27F49F95" w:rsidR="00A305AC" w:rsidRPr="00270F68" w:rsidRDefault="008C5F47" w:rsidP="0069657E">
      <w:pPr>
        <w:pStyle w:val="L3text"/>
      </w:pPr>
      <w:r w:rsidRPr="00270F68">
        <w:lastRenderedPageBreak/>
        <w:t>*Note that this task must be conducted in coordination with identified in-country conservation stakeholders</w:t>
      </w:r>
      <w:r w:rsidR="00BE2441" w:rsidRPr="00270F68">
        <w:t>, along with recognized species experts</w:t>
      </w:r>
      <w:r w:rsidRPr="00270F68">
        <w:t xml:space="preserve">. Direct engagement should take place </w:t>
      </w:r>
      <w:r w:rsidR="00315F29" w:rsidRPr="00270F68">
        <w:t xml:space="preserve">with </w:t>
      </w:r>
      <w:r w:rsidRPr="00270F68">
        <w:t xml:space="preserve">relevant experts identified </w:t>
      </w:r>
      <w:r w:rsidR="006D413D" w:rsidRPr="00270F68">
        <w:t>in Task 3.2: Stakeholder Mapping</w:t>
      </w:r>
      <w:r w:rsidRPr="00270F68">
        <w:t>.</w:t>
      </w:r>
    </w:p>
    <w:p w14:paraId="47A5E55B" w14:textId="6E9AEA99" w:rsidR="0016601C" w:rsidRPr="00270F68" w:rsidRDefault="009549F9" w:rsidP="009549F9">
      <w:pPr>
        <w:pStyle w:val="Heading3"/>
      </w:pPr>
      <w:r w:rsidRPr="00270F68">
        <w:t xml:space="preserve">Task </w:t>
      </w:r>
      <w:r w:rsidR="00C20FE2" w:rsidRPr="00270F68">
        <w:t>2</w:t>
      </w:r>
      <w:r w:rsidRPr="00270F68">
        <w:t>.</w:t>
      </w:r>
      <w:r w:rsidR="00F04816" w:rsidRPr="00270F68">
        <w:t>6</w:t>
      </w:r>
      <w:r w:rsidRPr="00270F68">
        <w:tab/>
        <w:t>Technical Screening</w:t>
      </w:r>
    </w:p>
    <w:p w14:paraId="23279BC8" w14:textId="1EB5E4C5" w:rsidR="009549F9" w:rsidRPr="00270F68" w:rsidRDefault="009549F9" w:rsidP="009549F9">
      <w:pPr>
        <w:pStyle w:val="L3text"/>
      </w:pPr>
      <w:r w:rsidRPr="00270F68">
        <w:t>The Consultant will draw from existing studies to screen the prospective sites</w:t>
      </w:r>
      <w:r w:rsidR="00CA46AF" w:rsidRPr="00270F68">
        <w:t xml:space="preserve"> from a technical perspective including wind speeds, logistics, </w:t>
      </w:r>
      <w:r w:rsidR="004A7DD2" w:rsidRPr="00270F68">
        <w:t xml:space="preserve">grid integration and geotechnical risk. Although much of this work has already been completed in the previous Everoze study, the Consultant shall pay particular attention to issues around grid integration and </w:t>
      </w:r>
      <w:r w:rsidR="00AE6FA1" w:rsidRPr="00270F68">
        <w:t xml:space="preserve">curtailment risk (particularly as it relates to </w:t>
      </w:r>
      <w:r w:rsidR="004230D0" w:rsidRPr="00270F68">
        <w:t>diurnal patterns and supply-demand coincidence)</w:t>
      </w:r>
      <w:r w:rsidR="004A7DD2" w:rsidRPr="00270F68">
        <w:t xml:space="preserve">. It is expected that this will be a major issue for any new wind farm (as it has been </w:t>
      </w:r>
      <w:r w:rsidR="00FF64B3" w:rsidRPr="00270F68">
        <w:t>for</w:t>
      </w:r>
      <w:r w:rsidR="004A7DD2" w:rsidRPr="00270F68">
        <w:t xml:space="preserve"> the existing wind farms)</w:t>
      </w:r>
      <w:r w:rsidR="00FF64B3" w:rsidRPr="00270F68">
        <w:t xml:space="preserve"> so this aspect will weigh heavily on any given site’s desirability.</w:t>
      </w:r>
    </w:p>
    <w:p w14:paraId="6AA8D137" w14:textId="4826D6C2" w:rsidR="002161C4" w:rsidRPr="00270F68" w:rsidRDefault="002161C4" w:rsidP="00E53DFB">
      <w:pPr>
        <w:pStyle w:val="Heading3"/>
      </w:pPr>
      <w:r w:rsidRPr="00270F68">
        <w:t xml:space="preserve">Task </w:t>
      </w:r>
      <w:r w:rsidR="00C20FE2" w:rsidRPr="00270F68">
        <w:t>2</w:t>
      </w:r>
      <w:r w:rsidRPr="00270F68">
        <w:t>.</w:t>
      </w:r>
      <w:r w:rsidR="00F04816" w:rsidRPr="00270F68">
        <w:t>7</w:t>
      </w:r>
      <w:r w:rsidRPr="00270F68">
        <w:tab/>
      </w:r>
      <w:r w:rsidR="00310254" w:rsidRPr="00270F68">
        <w:t xml:space="preserve">Reporting and </w:t>
      </w:r>
      <w:r w:rsidR="00716709" w:rsidRPr="00270F68">
        <w:t>Identification of Long List Sites</w:t>
      </w:r>
    </w:p>
    <w:p w14:paraId="22DC6AD6" w14:textId="1509AEF7" w:rsidR="00716709" w:rsidRPr="00270F68" w:rsidRDefault="00716709" w:rsidP="005F2FC5">
      <w:pPr>
        <w:pStyle w:val="L3text"/>
      </w:pPr>
      <w:r w:rsidRPr="00270F68">
        <w:t xml:space="preserve">The Consultant will summarize the work above </w:t>
      </w:r>
      <w:r w:rsidR="005F2FC5" w:rsidRPr="00270F68">
        <w:t>in a brief report</w:t>
      </w:r>
      <w:r w:rsidRPr="00270F68">
        <w:t xml:space="preserve"> </w:t>
      </w:r>
      <w:r w:rsidR="00E103D4" w:rsidRPr="00270F68">
        <w:t>rank</w:t>
      </w:r>
      <w:r w:rsidR="005F2FC5" w:rsidRPr="00270F68">
        <w:t>ing</w:t>
      </w:r>
      <w:r w:rsidR="00E103D4" w:rsidRPr="00270F68">
        <w:t xml:space="preserve"> the potential sites from a technical and E&amp;S perspective</w:t>
      </w:r>
      <w:r w:rsidR="00FF64B3" w:rsidRPr="00270F68">
        <w:t>, based on the crit</w:t>
      </w:r>
      <w:r w:rsidR="005F1C4E" w:rsidRPr="00270F68">
        <w:t>e</w:t>
      </w:r>
      <w:r w:rsidR="00FF64B3" w:rsidRPr="00270F68">
        <w:t>ria agreed to in the KOM</w:t>
      </w:r>
      <w:r w:rsidR="00BD623B" w:rsidRPr="00270F68">
        <w:t>.</w:t>
      </w:r>
      <w:r w:rsidR="00310254" w:rsidRPr="00270F68">
        <w:t xml:space="preserve"> T</w:t>
      </w:r>
      <w:r w:rsidR="005F2FC5" w:rsidRPr="00270F68">
        <w:t>he report will include</w:t>
      </w:r>
      <w:r w:rsidR="00A9422D" w:rsidRPr="00270F68">
        <w:t xml:space="preserve"> the t</w:t>
      </w:r>
      <w:r w:rsidR="00310254" w:rsidRPr="00270F68">
        <w:t>echnical and E&amp;S screening methodology</w:t>
      </w:r>
      <w:r w:rsidR="00A9422D" w:rsidRPr="00270F68">
        <w:t>.</w:t>
      </w:r>
      <w:r w:rsidR="00BD623B" w:rsidRPr="00270F68">
        <w:t xml:space="preserve"> The Consultant will then convene a meeting with the </w:t>
      </w:r>
      <w:r w:rsidR="004F4125" w:rsidRPr="00270F68">
        <w:t xml:space="preserve">WBG and GoM to </w:t>
      </w:r>
      <w:r w:rsidR="00A52593" w:rsidRPr="00270F68">
        <w:t xml:space="preserve">present the rankings and agree on </w:t>
      </w:r>
      <w:r w:rsidR="00666537" w:rsidRPr="00270F68">
        <w:t>the final [</w:t>
      </w:r>
      <w:r w:rsidR="00E714AB" w:rsidRPr="00270F68">
        <w:t>5</w:t>
      </w:r>
      <w:r w:rsidR="00666537" w:rsidRPr="00270F68">
        <w:t>] sites that will be the focus for the site visits</w:t>
      </w:r>
      <w:r w:rsidR="00DE1A81" w:rsidRPr="00270F68">
        <w:t>.</w:t>
      </w:r>
    </w:p>
    <w:p w14:paraId="3C2BF1B1" w14:textId="4733CDF3" w:rsidR="00C00C79" w:rsidRPr="00270F68" w:rsidRDefault="00C00C79" w:rsidP="00DA2A5F">
      <w:pPr>
        <w:pStyle w:val="Heading2"/>
      </w:pPr>
      <w:r w:rsidRPr="00270F68">
        <w:t xml:space="preserve">Task </w:t>
      </w:r>
      <w:r w:rsidR="00C20FE2" w:rsidRPr="00270F68">
        <w:t>3</w:t>
      </w:r>
      <w:r w:rsidRPr="00270F68">
        <w:t xml:space="preserve">: </w:t>
      </w:r>
      <w:r w:rsidR="00B16794" w:rsidRPr="00270F68">
        <w:t xml:space="preserve"> </w:t>
      </w:r>
      <w:r w:rsidRPr="00270F68">
        <w:t xml:space="preserve">Site Visits </w:t>
      </w:r>
      <w:r w:rsidR="001B241A" w:rsidRPr="00270F68">
        <w:t>and Ranking</w:t>
      </w:r>
    </w:p>
    <w:p w14:paraId="204980E2" w14:textId="3C7BE0FB" w:rsidR="001628AD" w:rsidRPr="00270F68" w:rsidRDefault="00351ADC" w:rsidP="00DE1A81">
      <w:pPr>
        <w:ind w:left="-90"/>
        <w:rPr>
          <w:rFonts w:cstheme="minorHAnsi"/>
          <w:lang w:val="en-GB"/>
        </w:rPr>
      </w:pPr>
      <w:r w:rsidRPr="00270F68">
        <w:rPr>
          <w:rFonts w:cstheme="minorHAnsi"/>
          <w:lang w:val="en-GB"/>
        </w:rPr>
        <w:t>T</w:t>
      </w:r>
      <w:r w:rsidR="001628AD" w:rsidRPr="00270F68">
        <w:rPr>
          <w:rFonts w:cstheme="minorHAnsi"/>
          <w:lang w:val="en-GB"/>
        </w:rPr>
        <w:t>he Consultant will visit the [</w:t>
      </w:r>
      <w:r w:rsidR="00E714AB" w:rsidRPr="00270F68">
        <w:rPr>
          <w:rFonts w:cstheme="minorHAnsi"/>
          <w:lang w:val="en-GB"/>
        </w:rPr>
        <w:t>5</w:t>
      </w:r>
      <w:r w:rsidR="001628AD" w:rsidRPr="00270F68">
        <w:rPr>
          <w:rFonts w:cstheme="minorHAnsi"/>
          <w:lang w:val="en-GB"/>
        </w:rPr>
        <w:t>] sites with representatives from IFC and the client</w:t>
      </w:r>
      <w:r w:rsidR="00640392" w:rsidRPr="00270F68">
        <w:rPr>
          <w:rFonts w:cstheme="minorHAnsi"/>
          <w:lang w:val="en-GB"/>
        </w:rPr>
        <w:t>, as appropriate</w:t>
      </w:r>
      <w:r w:rsidR="001628AD" w:rsidRPr="00270F68">
        <w:rPr>
          <w:rFonts w:cstheme="minorHAnsi"/>
          <w:lang w:val="en-GB"/>
        </w:rPr>
        <w:t xml:space="preserve">. The Consultant should ensure that the staff visiting the sites have suitable expertise (e.g. </w:t>
      </w:r>
      <w:r w:rsidR="005F1C4E" w:rsidRPr="00270F68">
        <w:rPr>
          <w:rFonts w:cstheme="minorHAnsi"/>
          <w:lang w:val="en-GB"/>
        </w:rPr>
        <w:t>technical</w:t>
      </w:r>
      <w:r w:rsidR="001628AD" w:rsidRPr="00270F68">
        <w:rPr>
          <w:rFonts w:cstheme="minorHAnsi"/>
          <w:lang w:val="en-GB"/>
        </w:rPr>
        <w:t xml:space="preserve">, social, </w:t>
      </w:r>
      <w:r w:rsidR="00EA136D" w:rsidRPr="00270F68">
        <w:rPr>
          <w:rFonts w:cstheme="minorHAnsi"/>
          <w:lang w:val="en-GB"/>
        </w:rPr>
        <w:t>biodiversity</w:t>
      </w:r>
      <w:r w:rsidR="001628AD" w:rsidRPr="00270F68">
        <w:rPr>
          <w:rFonts w:cstheme="minorHAnsi"/>
          <w:lang w:val="en-GB"/>
        </w:rPr>
        <w:t xml:space="preserve">) to identify any evident fatal flaws which may prevent the development of wind projects at each site. </w:t>
      </w:r>
      <w:r w:rsidR="006C3054" w:rsidRPr="00270F68">
        <w:t>A half-day should be planned at each site</w:t>
      </w:r>
      <w:r w:rsidR="009F3638" w:rsidRPr="00270F68">
        <w:t xml:space="preserve">, with </w:t>
      </w:r>
      <w:r w:rsidR="00920B56" w:rsidRPr="00270F68">
        <w:t>the remaining half-day dedicated to driving to/from the site</w:t>
      </w:r>
      <w:r w:rsidR="006C3054" w:rsidRPr="00270F68">
        <w:t xml:space="preserve">. Note that it is assumed that all </w:t>
      </w:r>
      <w:r w:rsidR="00E714AB" w:rsidRPr="00270F68">
        <w:t>[5]</w:t>
      </w:r>
      <w:r w:rsidR="006C3054" w:rsidRPr="00270F68">
        <w:t xml:space="preserve"> sites may be visited within a</w:t>
      </w:r>
      <w:r w:rsidR="00715717" w:rsidRPr="00270F68">
        <w:t xml:space="preserve">n eight </w:t>
      </w:r>
      <w:r w:rsidR="006C3054" w:rsidRPr="00270F68">
        <w:t>day period, accessible by car</w:t>
      </w:r>
      <w:r w:rsidR="00715717" w:rsidRPr="00270F68">
        <w:t xml:space="preserve">. </w:t>
      </w:r>
      <w:r w:rsidR="00AC675A" w:rsidRPr="00270F68">
        <w:rPr>
          <w:rFonts w:cstheme="minorHAnsi"/>
          <w:lang w:val="en-GB"/>
        </w:rPr>
        <w:t>The site visits and analysis will cover the following:</w:t>
      </w:r>
    </w:p>
    <w:p w14:paraId="0CF38510" w14:textId="56CAC043" w:rsidR="00AC675A" w:rsidRPr="00270F68" w:rsidRDefault="00AC675A" w:rsidP="00E53DFB">
      <w:pPr>
        <w:pStyle w:val="Heading3"/>
      </w:pPr>
      <w:r w:rsidRPr="00270F68">
        <w:rPr>
          <w:lang w:val="en-GB"/>
        </w:rPr>
        <w:t xml:space="preserve">Task </w:t>
      </w:r>
      <w:r w:rsidR="00C20FE2" w:rsidRPr="00270F68">
        <w:rPr>
          <w:lang w:val="en-GB"/>
        </w:rPr>
        <w:t>3</w:t>
      </w:r>
      <w:r w:rsidRPr="00270F68">
        <w:rPr>
          <w:lang w:val="en-GB"/>
        </w:rPr>
        <w:t>.1</w:t>
      </w:r>
      <w:r w:rsidRPr="00270F68">
        <w:rPr>
          <w:lang w:val="en-GB"/>
        </w:rPr>
        <w:tab/>
        <w:t>Social Review</w:t>
      </w:r>
    </w:p>
    <w:p w14:paraId="04DFA8E0" w14:textId="5DA497E6" w:rsidR="001628AD" w:rsidRPr="00270F68" w:rsidRDefault="006C3054" w:rsidP="00273827">
      <w:pPr>
        <w:pStyle w:val="L3text"/>
      </w:pPr>
      <w:r w:rsidRPr="00270F68">
        <w:t>T</w:t>
      </w:r>
      <w:r w:rsidR="001628AD" w:rsidRPr="00270F68">
        <w:t>he Consultant will support MOE in identifying land users in the project footprint and buffer area(s)</w:t>
      </w:r>
      <w:r w:rsidR="00F478B4" w:rsidRPr="00270F68">
        <w:t>, including nomadic and semi-nomadic groups</w:t>
      </w:r>
      <w:r w:rsidR="001628AD" w:rsidRPr="00270F68">
        <w:t xml:space="preserve">. </w:t>
      </w:r>
      <w:r w:rsidR="00BA0CD5" w:rsidRPr="00270F68">
        <w:t>The Consultant will identify main social risk and impacts based on demographics</w:t>
      </w:r>
      <w:r w:rsidR="00A134D8" w:rsidRPr="00270F68">
        <w:t xml:space="preserve"> (population density)</w:t>
      </w:r>
      <w:r w:rsidR="00BA0CD5" w:rsidRPr="00270F68">
        <w:t xml:space="preserve">, land tenure and land use, </w:t>
      </w:r>
      <w:r w:rsidR="00A134D8" w:rsidRPr="00270F68">
        <w:t xml:space="preserve">including legacy resettlement, </w:t>
      </w:r>
      <w:r w:rsidR="00BA0CD5" w:rsidRPr="00270F68">
        <w:t xml:space="preserve">prevalent economic/livelihood activities, social organization and security context.   </w:t>
      </w:r>
    </w:p>
    <w:p w14:paraId="341619A9" w14:textId="615F58B5" w:rsidR="005F2420" w:rsidRPr="00270F68" w:rsidRDefault="005F2420" w:rsidP="00B02114">
      <w:pPr>
        <w:pStyle w:val="Heading3"/>
      </w:pPr>
      <w:r w:rsidRPr="00270F68">
        <w:t xml:space="preserve">Task </w:t>
      </w:r>
      <w:r w:rsidR="00C20FE2" w:rsidRPr="00270F68">
        <w:t>3</w:t>
      </w:r>
      <w:r w:rsidRPr="00270F68">
        <w:t>.2</w:t>
      </w:r>
      <w:r w:rsidRPr="00270F68">
        <w:tab/>
        <w:t>Biodiversity Review</w:t>
      </w:r>
    </w:p>
    <w:p w14:paraId="3F28232A" w14:textId="0B68D03B" w:rsidR="006B7964" w:rsidRPr="00270F68" w:rsidRDefault="006721D8" w:rsidP="00273827">
      <w:pPr>
        <w:pStyle w:val="L3text"/>
      </w:pPr>
      <w:r w:rsidRPr="00270F68">
        <w:t>Building on the information compiled in Task 2 and 3</w:t>
      </w:r>
      <w:r w:rsidR="00186DCF" w:rsidRPr="00270F68">
        <w:t>, t</w:t>
      </w:r>
      <w:r w:rsidR="00B02114" w:rsidRPr="00270F68">
        <w:t>he Consultant will</w:t>
      </w:r>
      <w:r w:rsidR="00CD41CE" w:rsidRPr="00270F68">
        <w:t xml:space="preserve"> use the site visits to conduct site reconnaissance </w:t>
      </w:r>
      <w:r w:rsidR="002024F6" w:rsidRPr="00270F68">
        <w:t>in order to fill information gaps</w:t>
      </w:r>
      <w:r w:rsidR="006A722C" w:rsidRPr="00270F68">
        <w:t>.</w:t>
      </w:r>
      <w:r w:rsidR="006A722C" w:rsidRPr="00270F68">
        <w:rPr>
          <w:rFonts w:eastAsia="Calibri"/>
        </w:rPr>
        <w:t xml:space="preserve"> As feasible, the Consultant should undertake any primary data collection during the site visits based on field observations and key informant interviews</w:t>
      </w:r>
      <w:r w:rsidR="006A722C" w:rsidRPr="00270F68">
        <w:rPr>
          <w:rStyle w:val="FootnoteReference"/>
          <w:rFonts w:eastAsia="Calibri"/>
        </w:rPr>
        <w:footnoteReference w:id="9"/>
      </w:r>
      <w:r w:rsidR="006A722C" w:rsidRPr="00270F68">
        <w:rPr>
          <w:rFonts w:eastAsia="Calibri"/>
        </w:rPr>
        <w:t xml:space="preserve">. </w:t>
      </w:r>
      <w:r w:rsidR="00CD41CE" w:rsidRPr="00270F68">
        <w:t>T</w:t>
      </w:r>
      <w:r w:rsidR="006B7964" w:rsidRPr="00270F68">
        <w:t>he site visit should include both an international and local ornithologist, as well as a bat expert, as appropriate.</w:t>
      </w:r>
    </w:p>
    <w:p w14:paraId="79367882" w14:textId="7B2BA758" w:rsidR="001628AD" w:rsidRPr="00270F68" w:rsidRDefault="001628AD" w:rsidP="00E53DFB">
      <w:pPr>
        <w:pStyle w:val="Heading3"/>
      </w:pPr>
      <w:r w:rsidRPr="00270F68">
        <w:lastRenderedPageBreak/>
        <w:t xml:space="preserve">Task </w:t>
      </w:r>
      <w:r w:rsidR="006E063F" w:rsidRPr="00270F68">
        <w:t>3</w:t>
      </w:r>
      <w:r w:rsidR="00AC675A" w:rsidRPr="00270F68">
        <w:t>.</w:t>
      </w:r>
      <w:r w:rsidR="00F04816" w:rsidRPr="00270F68">
        <w:t>3</w:t>
      </w:r>
      <w:r w:rsidR="00AC675A" w:rsidRPr="00270F68">
        <w:tab/>
      </w:r>
      <w:r w:rsidRPr="00270F68">
        <w:t xml:space="preserve">Technical review  </w:t>
      </w:r>
    </w:p>
    <w:p w14:paraId="30C4E917" w14:textId="15A49885" w:rsidR="001628AD" w:rsidRPr="00270F68" w:rsidRDefault="001628AD" w:rsidP="00CC1B1A">
      <w:pPr>
        <w:pStyle w:val="L3text"/>
        <w:spacing w:after="0"/>
        <w:ind w:left="274"/>
      </w:pPr>
      <w:r w:rsidRPr="00270F68">
        <w:t>The Consultant will undertake a preliminary technical analysis of each site, based both on the document review and site visit. This analysis will include an assessment of the following:</w:t>
      </w:r>
    </w:p>
    <w:p w14:paraId="586730B2" w14:textId="575E716C" w:rsidR="001628AD" w:rsidRPr="00270F68" w:rsidRDefault="001628AD" w:rsidP="00AC675A">
      <w:pPr>
        <w:pStyle w:val="ListParagraph"/>
        <w:numPr>
          <w:ilvl w:val="0"/>
          <w:numId w:val="3"/>
        </w:numPr>
        <w:autoSpaceDE w:val="0"/>
        <w:autoSpaceDN w:val="0"/>
        <w:adjustRightInd w:val="0"/>
        <w:spacing w:after="0" w:line="240" w:lineRule="auto"/>
        <w:ind w:left="990" w:right="120"/>
        <w:rPr>
          <w:rFonts w:cstheme="minorHAnsi"/>
        </w:rPr>
      </w:pPr>
      <w:r w:rsidRPr="00270F68">
        <w:rPr>
          <w:rFonts w:cstheme="minorHAnsi"/>
        </w:rPr>
        <w:t>Topography, ground conditions and geology</w:t>
      </w:r>
      <w:r w:rsidR="006C3054" w:rsidRPr="00270F68">
        <w:rPr>
          <w:rFonts w:cstheme="minorHAnsi"/>
        </w:rPr>
        <w:t>,</w:t>
      </w:r>
      <w:r w:rsidRPr="00270F68">
        <w:rPr>
          <w:rFonts w:cstheme="minorHAnsi"/>
        </w:rPr>
        <w:t xml:space="preserve"> proximity to military sites, airports or radar installations. </w:t>
      </w:r>
    </w:p>
    <w:p w14:paraId="09C3F8FB" w14:textId="6F7E4EAC" w:rsidR="001628AD" w:rsidRPr="00270F68" w:rsidRDefault="001628AD" w:rsidP="00AC675A">
      <w:pPr>
        <w:pStyle w:val="ListParagraph"/>
        <w:numPr>
          <w:ilvl w:val="0"/>
          <w:numId w:val="3"/>
        </w:numPr>
        <w:autoSpaceDE w:val="0"/>
        <w:autoSpaceDN w:val="0"/>
        <w:adjustRightInd w:val="0"/>
        <w:spacing w:after="0" w:line="240" w:lineRule="auto"/>
        <w:ind w:left="990" w:right="120"/>
        <w:rPr>
          <w:rFonts w:cstheme="minorHAnsi"/>
        </w:rPr>
      </w:pPr>
      <w:r w:rsidRPr="00270F68">
        <w:rPr>
          <w:rFonts w:cstheme="minorHAnsi"/>
        </w:rPr>
        <w:t xml:space="preserve">Wind resource and meteorological conditions </w:t>
      </w:r>
      <w:r w:rsidR="005955C1" w:rsidRPr="00270F68">
        <w:rPr>
          <w:rFonts w:cstheme="minorHAnsi"/>
          <w:i/>
          <w:iCs/>
        </w:rPr>
        <w:t xml:space="preserve">(including </w:t>
      </w:r>
      <w:r w:rsidRPr="00270F68">
        <w:rPr>
          <w:rFonts w:cstheme="minorHAnsi"/>
          <w:i/>
          <w:iCs/>
        </w:rPr>
        <w:t>100m resolution mesoscale data @ 100m; time series data (ERA5) for a 10year period; virtual met mast data for a 20 year period)</w:t>
      </w:r>
      <w:r w:rsidR="004B49CF" w:rsidRPr="00270F68">
        <w:rPr>
          <w:rFonts w:cstheme="minorHAnsi"/>
          <w:i/>
          <w:iCs/>
        </w:rPr>
        <w:t>]</w:t>
      </w:r>
    </w:p>
    <w:p w14:paraId="3E336045" w14:textId="5AB67791" w:rsidR="001628AD" w:rsidRPr="00270F68" w:rsidRDefault="001628AD" w:rsidP="00AC675A">
      <w:pPr>
        <w:pStyle w:val="ListParagraph"/>
        <w:numPr>
          <w:ilvl w:val="0"/>
          <w:numId w:val="3"/>
        </w:numPr>
        <w:autoSpaceDE w:val="0"/>
        <w:autoSpaceDN w:val="0"/>
        <w:adjustRightInd w:val="0"/>
        <w:spacing w:after="0" w:line="240" w:lineRule="auto"/>
        <w:ind w:left="990" w:right="120"/>
        <w:rPr>
          <w:rFonts w:cstheme="minorHAnsi"/>
        </w:rPr>
      </w:pPr>
      <w:r w:rsidRPr="00270F68">
        <w:rPr>
          <w:rFonts w:cstheme="minorHAnsi"/>
        </w:rPr>
        <w:t>Required grid connection infrastructure and grid integration considerations (evacuation capacity</w:t>
      </w:r>
      <w:r w:rsidR="00D87C34" w:rsidRPr="00270F68">
        <w:rPr>
          <w:rFonts w:cstheme="minorHAnsi"/>
        </w:rPr>
        <w:t xml:space="preserve"> and supply-demand coincidence</w:t>
      </w:r>
      <w:r w:rsidRPr="00270F68">
        <w:rPr>
          <w:rFonts w:cstheme="minorHAnsi"/>
        </w:rPr>
        <w:t>)</w:t>
      </w:r>
    </w:p>
    <w:p w14:paraId="5400FB8D" w14:textId="77777777" w:rsidR="001628AD" w:rsidRPr="00270F68" w:rsidRDefault="001628AD" w:rsidP="00AC675A">
      <w:pPr>
        <w:pStyle w:val="ListParagraph"/>
        <w:numPr>
          <w:ilvl w:val="0"/>
          <w:numId w:val="3"/>
        </w:numPr>
        <w:autoSpaceDE w:val="0"/>
        <w:autoSpaceDN w:val="0"/>
        <w:adjustRightInd w:val="0"/>
        <w:spacing w:after="0" w:line="240" w:lineRule="auto"/>
        <w:ind w:left="990" w:right="120"/>
        <w:rPr>
          <w:rFonts w:cstheme="minorHAnsi"/>
        </w:rPr>
      </w:pPr>
      <w:r w:rsidRPr="00270F68">
        <w:rPr>
          <w:rFonts w:cstheme="minorHAnsi"/>
        </w:rPr>
        <w:t>Transport and access (logistics)</w:t>
      </w:r>
    </w:p>
    <w:p w14:paraId="44BF2AD0" w14:textId="77777777" w:rsidR="001628AD" w:rsidRPr="00270F68" w:rsidRDefault="001628AD" w:rsidP="00AC675A">
      <w:pPr>
        <w:pStyle w:val="ListParagraph"/>
        <w:numPr>
          <w:ilvl w:val="0"/>
          <w:numId w:val="3"/>
        </w:numPr>
        <w:autoSpaceDE w:val="0"/>
        <w:autoSpaceDN w:val="0"/>
        <w:adjustRightInd w:val="0"/>
        <w:spacing w:after="0" w:line="240" w:lineRule="auto"/>
        <w:ind w:left="990" w:right="120"/>
        <w:rPr>
          <w:rFonts w:cstheme="minorHAnsi"/>
        </w:rPr>
      </w:pPr>
      <w:r w:rsidRPr="00270F68">
        <w:rPr>
          <w:rFonts w:cstheme="minorHAnsi"/>
        </w:rPr>
        <w:t>Indicative project layout and micrositing, based on two turbine models suitable for each site given the site constraints and logistics considerations.</w:t>
      </w:r>
    </w:p>
    <w:p w14:paraId="74DA3830" w14:textId="20E380B3" w:rsidR="001628AD" w:rsidRPr="00270F68" w:rsidRDefault="001628AD" w:rsidP="00AC675A">
      <w:pPr>
        <w:pStyle w:val="ListParagraph"/>
        <w:numPr>
          <w:ilvl w:val="0"/>
          <w:numId w:val="3"/>
        </w:numPr>
        <w:autoSpaceDE w:val="0"/>
        <w:autoSpaceDN w:val="0"/>
        <w:adjustRightInd w:val="0"/>
        <w:spacing w:after="0" w:line="240" w:lineRule="auto"/>
        <w:ind w:left="990" w:right="120"/>
        <w:rPr>
          <w:rFonts w:cstheme="minorHAnsi"/>
          <w:i/>
          <w:iCs/>
        </w:rPr>
      </w:pPr>
      <w:r w:rsidRPr="00270F68">
        <w:rPr>
          <w:rFonts w:cstheme="minorHAnsi"/>
        </w:rPr>
        <w:t>Energy yield assessments of the two configurations based on both local wind measurements (if any) and mesoscale data. The capacity of the wind farm will be subject to discussion for each site but will notionally be in the range of [</w:t>
      </w:r>
      <w:r w:rsidRPr="00270F68">
        <w:rPr>
          <w:rFonts w:cstheme="minorHAnsi"/>
          <w:i/>
          <w:iCs/>
        </w:rPr>
        <w:t xml:space="preserve">50-100 MW]. </w:t>
      </w:r>
    </w:p>
    <w:p w14:paraId="369D5F66" w14:textId="61AC9D9A" w:rsidR="001628AD" w:rsidRPr="00270F68" w:rsidRDefault="008F6995" w:rsidP="00E53DFB">
      <w:pPr>
        <w:pStyle w:val="L3text"/>
      </w:pPr>
      <w:r w:rsidRPr="00270F68">
        <w:t>Basic c</w:t>
      </w:r>
      <w:r w:rsidR="001628AD" w:rsidRPr="00270F68">
        <w:t>onstraint maps should be developed based on internationally recognized norms and setbacks established in the 2015 IFC EHS Guidelines for Wind Energy. The constraint maps should reflect any findings from the E&amp;S review (e.g. areas to minimize avian impacts).</w:t>
      </w:r>
    </w:p>
    <w:p w14:paraId="3F81F956" w14:textId="54BFE2D0" w:rsidR="001628AD" w:rsidRPr="00270F68" w:rsidRDefault="001628AD" w:rsidP="00AA11A1">
      <w:pPr>
        <w:pStyle w:val="Heading3"/>
      </w:pPr>
      <w:r w:rsidRPr="00270F68">
        <w:t xml:space="preserve">Task </w:t>
      </w:r>
      <w:r w:rsidR="006E063F" w:rsidRPr="00270F68">
        <w:t>3</w:t>
      </w:r>
      <w:r w:rsidR="00AA11A1" w:rsidRPr="00270F68">
        <w:t>.</w:t>
      </w:r>
      <w:r w:rsidR="00F04816" w:rsidRPr="00270F68">
        <w:t>4</w:t>
      </w:r>
      <w:r w:rsidR="00AA11A1" w:rsidRPr="00270F68">
        <w:tab/>
      </w:r>
      <w:r w:rsidRPr="00270F68">
        <w:t>Stakeholder Engagements</w:t>
      </w:r>
    </w:p>
    <w:p w14:paraId="5EA0FE11" w14:textId="79830890" w:rsidR="001628AD" w:rsidRPr="00270F68" w:rsidRDefault="00AA11A1" w:rsidP="00AA11A1">
      <w:pPr>
        <w:pStyle w:val="L3text"/>
      </w:pPr>
      <w:r w:rsidRPr="00270F68">
        <w:t>The Consultant will</w:t>
      </w:r>
      <w:r w:rsidR="001628AD" w:rsidRPr="00270F68">
        <w:t xml:space="preserve"> organiz</w:t>
      </w:r>
      <w:r w:rsidRPr="00270F68">
        <w:t>e</w:t>
      </w:r>
      <w:r w:rsidR="001628AD" w:rsidRPr="00270F68">
        <w:t xml:space="preserve"> an in-country multi-stakeholder roundtable with relevant conservation organizations, government officials</w:t>
      </w:r>
      <w:r w:rsidR="009A6A09" w:rsidRPr="00270F68">
        <w:t xml:space="preserve"> and </w:t>
      </w:r>
      <w:r w:rsidR="001628AD" w:rsidRPr="00270F68">
        <w:t>universities to review findings and obtain feedback.</w:t>
      </w:r>
    </w:p>
    <w:p w14:paraId="50B616F5" w14:textId="606D2B8A" w:rsidR="001628AD" w:rsidRPr="00270F68" w:rsidRDefault="001628AD" w:rsidP="00AA11A1">
      <w:pPr>
        <w:pStyle w:val="Heading3"/>
      </w:pPr>
      <w:r w:rsidRPr="00270F68">
        <w:t>Task</w:t>
      </w:r>
      <w:r w:rsidR="00AA11A1" w:rsidRPr="00270F68">
        <w:t xml:space="preserve"> </w:t>
      </w:r>
      <w:r w:rsidR="006E063F" w:rsidRPr="00270F68">
        <w:t>3</w:t>
      </w:r>
      <w:r w:rsidR="00AA11A1" w:rsidRPr="00270F68">
        <w:t>.</w:t>
      </w:r>
      <w:r w:rsidR="00F04816" w:rsidRPr="00270F68">
        <w:t>5</w:t>
      </w:r>
      <w:r w:rsidR="00AA11A1" w:rsidRPr="00270F68">
        <w:tab/>
      </w:r>
      <w:r w:rsidRPr="00270F68">
        <w:t xml:space="preserve">Financial </w:t>
      </w:r>
      <w:r w:rsidR="00D27F81" w:rsidRPr="00270F68">
        <w:t>Review</w:t>
      </w:r>
    </w:p>
    <w:p w14:paraId="758A0C99" w14:textId="3D3DD12D" w:rsidR="001628AD" w:rsidRPr="00270F68" w:rsidRDefault="001628AD" w:rsidP="00AA11A1">
      <w:pPr>
        <w:pStyle w:val="L3text"/>
      </w:pPr>
      <w:bookmarkStart w:id="0" w:name="_Hlk515613941"/>
      <w:r w:rsidRPr="00270F68">
        <w:t>The Consultant will</w:t>
      </w:r>
      <w:bookmarkEnd w:id="0"/>
      <w:r w:rsidR="00AA11A1" w:rsidRPr="00270F68">
        <w:t xml:space="preserve"> undertake an analysis of the estimated Levelized Cost of Energy for </w:t>
      </w:r>
      <w:r w:rsidR="00CC1B1A" w:rsidRPr="00270F68">
        <w:t>a [50-100] MW wind farm at each of the sites</w:t>
      </w:r>
      <w:r w:rsidRPr="00270F68">
        <w:t xml:space="preserve"> </w:t>
      </w:r>
    </w:p>
    <w:p w14:paraId="4C124FA1" w14:textId="572C2F23" w:rsidR="001628AD" w:rsidRPr="00270F68" w:rsidRDefault="001628AD" w:rsidP="00CC1B1A">
      <w:pPr>
        <w:pStyle w:val="Heading3"/>
      </w:pPr>
      <w:r w:rsidRPr="00270F68">
        <w:t xml:space="preserve"> Task </w:t>
      </w:r>
      <w:r w:rsidR="006E063F" w:rsidRPr="00270F68">
        <w:t>3</w:t>
      </w:r>
      <w:r w:rsidR="00CC1B1A" w:rsidRPr="00270F68">
        <w:t>.</w:t>
      </w:r>
      <w:r w:rsidR="00F04816" w:rsidRPr="00270F68">
        <w:t>6</w:t>
      </w:r>
      <w:r w:rsidRPr="00270F68">
        <w:t>. Site comparison, Gap Analysis and Prioritization</w:t>
      </w:r>
    </w:p>
    <w:p w14:paraId="7585ABAD" w14:textId="34FA7C3A" w:rsidR="001628AD" w:rsidRPr="00270F68" w:rsidRDefault="001628AD" w:rsidP="00CC1B1A">
      <w:pPr>
        <w:pStyle w:val="L3text"/>
      </w:pPr>
      <w:r w:rsidRPr="00270F68">
        <w:t>The Consultant will prepare a summary report, synthesizing the results of the technical, E&amp;S and financial analyses and ranking the sites in order of preference</w:t>
      </w:r>
      <w:r w:rsidR="00186DCF" w:rsidRPr="00270F68">
        <w:t>, based on the agreed methodology</w:t>
      </w:r>
      <w:r w:rsidRPr="00270F68">
        <w:t xml:space="preserve">. </w:t>
      </w:r>
      <w:r w:rsidR="00F82AD4" w:rsidRPr="00270F68">
        <w:rPr>
          <w:iCs/>
        </w:rPr>
        <w:t xml:space="preserve">This report should include a summary of the remaining technical gaps, given the differing levels of development activity undertaken at the various sites to date. </w:t>
      </w:r>
    </w:p>
    <w:p w14:paraId="1BC4195B" w14:textId="354D6CE7" w:rsidR="00CC1B1A" w:rsidRPr="00270F68" w:rsidRDefault="00D27F81" w:rsidP="00EF6122">
      <w:pPr>
        <w:pStyle w:val="Heading2"/>
      </w:pPr>
      <w:r w:rsidRPr="00270F68">
        <w:t xml:space="preserve">Task </w:t>
      </w:r>
      <w:r w:rsidR="00EE5DDF" w:rsidRPr="00270F68">
        <w:t>4</w:t>
      </w:r>
      <w:r w:rsidR="00EF6122" w:rsidRPr="00270F68">
        <w:t>. Workshop and Final Reporting</w:t>
      </w:r>
    </w:p>
    <w:p w14:paraId="14E059C8" w14:textId="579B2A3A" w:rsidR="001628AD" w:rsidRPr="00270F68" w:rsidRDefault="00EF6122" w:rsidP="001628AD">
      <w:pPr>
        <w:rPr>
          <w:rFonts w:cstheme="minorHAnsi"/>
          <w:iCs/>
        </w:rPr>
      </w:pPr>
      <w:r w:rsidRPr="00270F68">
        <w:rPr>
          <w:rFonts w:cstheme="minorHAnsi"/>
          <w:iCs/>
        </w:rPr>
        <w:t>T</w:t>
      </w:r>
      <w:r w:rsidR="00E53DFB" w:rsidRPr="00270F68">
        <w:rPr>
          <w:rFonts w:cstheme="minorHAnsi"/>
          <w:iCs/>
        </w:rPr>
        <w:t>he Consultant will provide a summary report for each site, including constraint maps.</w:t>
      </w:r>
      <w:r w:rsidRPr="00270F68">
        <w:rPr>
          <w:rFonts w:cstheme="minorHAnsi"/>
          <w:iCs/>
        </w:rPr>
        <w:t xml:space="preserve"> </w:t>
      </w:r>
      <w:r w:rsidR="001628AD" w:rsidRPr="00270F68">
        <w:rPr>
          <w:rFonts w:cstheme="minorHAnsi"/>
          <w:iCs/>
        </w:rPr>
        <w:t xml:space="preserve">The Consultant will present the findings of this report in a workshop with the client and the IFC. Based on feedback from the project stakeholders, the Consultant will revise and conclude the summary report, providing recommendations for the prioritization of sites to be tendered. </w:t>
      </w:r>
    </w:p>
    <w:p w14:paraId="0B312474" w14:textId="750CE6FA" w:rsidR="001628AD" w:rsidRPr="00270F68" w:rsidRDefault="001628AD" w:rsidP="004F1DDC">
      <w:pPr>
        <w:pStyle w:val="Heading1"/>
      </w:pPr>
      <w:r w:rsidRPr="00270F68">
        <w:t xml:space="preserve">Milestones, Timeframe and Payment Schedule </w:t>
      </w:r>
    </w:p>
    <w:p w14:paraId="0F354014" w14:textId="70C9AEEC" w:rsidR="001628AD" w:rsidRPr="00270F68" w:rsidRDefault="001628AD" w:rsidP="001628AD">
      <w:pPr>
        <w:pStyle w:val="Default"/>
        <w:ind w:left="-30" w:right="61"/>
        <w:jc w:val="both"/>
        <w:rPr>
          <w:rFonts w:asciiTheme="minorHAnsi" w:eastAsia="Calibri" w:hAnsiTheme="minorHAnsi" w:cstheme="minorHAnsi"/>
          <w:i/>
          <w:color w:val="auto"/>
          <w:sz w:val="22"/>
          <w:szCs w:val="22"/>
        </w:rPr>
      </w:pPr>
      <w:r w:rsidRPr="00270F68">
        <w:rPr>
          <w:rFonts w:asciiTheme="minorHAnsi" w:eastAsia="Calibri" w:hAnsiTheme="minorHAnsi" w:cstheme="minorHAnsi"/>
          <w:i/>
          <w:color w:val="auto"/>
          <w:sz w:val="22"/>
          <w:szCs w:val="22"/>
        </w:rPr>
        <w:t xml:space="preserve">The Consultant shall deliver the following outputs: </w:t>
      </w:r>
    </w:p>
    <w:p w14:paraId="4AFEE508" w14:textId="705BAAE8" w:rsidR="001628AD" w:rsidRPr="00270F68" w:rsidRDefault="001628AD" w:rsidP="001628AD">
      <w:pPr>
        <w:pStyle w:val="Default"/>
        <w:ind w:left="-30" w:right="61"/>
        <w:jc w:val="both"/>
        <w:rPr>
          <w:rFonts w:asciiTheme="minorHAnsi" w:eastAsia="Calibri" w:hAnsiTheme="minorHAnsi" w:cstheme="minorHAnsi"/>
          <w:i/>
          <w:color w:val="auto"/>
          <w:sz w:val="22"/>
          <w:szCs w:val="22"/>
        </w:rPr>
      </w:pPr>
    </w:p>
    <w:tbl>
      <w:tblPr>
        <w:tblStyle w:val="TableGrid"/>
        <w:tblW w:w="0" w:type="auto"/>
        <w:tblInd w:w="-30" w:type="dxa"/>
        <w:tblLook w:val="04A0" w:firstRow="1" w:lastRow="0" w:firstColumn="1" w:lastColumn="0" w:noHBand="0" w:noVBand="1"/>
      </w:tblPr>
      <w:tblGrid>
        <w:gridCol w:w="1915"/>
        <w:gridCol w:w="3870"/>
        <w:gridCol w:w="3565"/>
      </w:tblGrid>
      <w:tr w:rsidR="00270F68" w:rsidRPr="00270F68" w14:paraId="7FC17F00" w14:textId="77777777" w:rsidTr="00501807">
        <w:tc>
          <w:tcPr>
            <w:tcW w:w="1915" w:type="dxa"/>
          </w:tcPr>
          <w:p w14:paraId="760F4085" w14:textId="30E5E6B9" w:rsidR="001628AD" w:rsidRPr="00270F68" w:rsidRDefault="001628AD" w:rsidP="001628AD">
            <w:pPr>
              <w:pStyle w:val="Default"/>
              <w:ind w:right="61"/>
              <w:jc w:val="both"/>
              <w:rPr>
                <w:rFonts w:asciiTheme="minorHAnsi" w:eastAsia="Calibri" w:hAnsiTheme="minorHAnsi" w:cstheme="minorHAnsi"/>
                <w:b/>
                <w:bCs/>
                <w:iCs/>
                <w:color w:val="auto"/>
                <w:sz w:val="22"/>
                <w:szCs w:val="22"/>
              </w:rPr>
            </w:pPr>
            <w:r w:rsidRPr="00270F68">
              <w:rPr>
                <w:rFonts w:asciiTheme="minorHAnsi" w:eastAsia="Calibri" w:hAnsiTheme="minorHAnsi" w:cstheme="minorHAnsi"/>
                <w:b/>
                <w:bCs/>
                <w:iCs/>
                <w:color w:val="auto"/>
                <w:sz w:val="22"/>
                <w:szCs w:val="22"/>
              </w:rPr>
              <w:t>Milestones</w:t>
            </w:r>
          </w:p>
        </w:tc>
        <w:tc>
          <w:tcPr>
            <w:tcW w:w="3870" w:type="dxa"/>
          </w:tcPr>
          <w:p w14:paraId="422B1964" w14:textId="13A3150F" w:rsidR="001628AD" w:rsidRPr="00270F68" w:rsidRDefault="001628AD" w:rsidP="001628AD">
            <w:pPr>
              <w:pStyle w:val="Default"/>
              <w:ind w:right="61"/>
              <w:jc w:val="both"/>
              <w:rPr>
                <w:rFonts w:asciiTheme="minorHAnsi" w:eastAsia="Calibri" w:hAnsiTheme="minorHAnsi" w:cstheme="minorHAnsi"/>
                <w:b/>
                <w:bCs/>
                <w:iCs/>
                <w:color w:val="auto"/>
                <w:sz w:val="22"/>
                <w:szCs w:val="22"/>
              </w:rPr>
            </w:pPr>
            <w:r w:rsidRPr="00270F68">
              <w:rPr>
                <w:rFonts w:asciiTheme="minorHAnsi" w:eastAsia="Calibri" w:hAnsiTheme="minorHAnsi" w:cstheme="minorHAnsi"/>
                <w:b/>
                <w:bCs/>
                <w:iCs/>
                <w:color w:val="auto"/>
                <w:sz w:val="22"/>
                <w:szCs w:val="22"/>
              </w:rPr>
              <w:t xml:space="preserve">Timeline </w:t>
            </w:r>
          </w:p>
        </w:tc>
        <w:tc>
          <w:tcPr>
            <w:tcW w:w="3565" w:type="dxa"/>
          </w:tcPr>
          <w:p w14:paraId="0A79DA89" w14:textId="13A6C231" w:rsidR="001628AD" w:rsidRPr="00270F68" w:rsidRDefault="001628AD" w:rsidP="001628AD">
            <w:pPr>
              <w:pStyle w:val="Default"/>
              <w:ind w:right="61"/>
              <w:jc w:val="both"/>
              <w:rPr>
                <w:rFonts w:asciiTheme="minorHAnsi" w:eastAsia="Calibri" w:hAnsiTheme="minorHAnsi" w:cstheme="minorHAnsi"/>
                <w:b/>
                <w:bCs/>
                <w:iCs/>
                <w:color w:val="auto"/>
                <w:sz w:val="22"/>
                <w:szCs w:val="22"/>
              </w:rPr>
            </w:pPr>
            <w:r w:rsidRPr="00270F68">
              <w:rPr>
                <w:rFonts w:asciiTheme="minorHAnsi" w:eastAsia="Calibri" w:hAnsiTheme="minorHAnsi" w:cstheme="minorHAnsi"/>
                <w:b/>
                <w:bCs/>
                <w:iCs/>
                <w:color w:val="auto"/>
                <w:sz w:val="22"/>
                <w:szCs w:val="22"/>
              </w:rPr>
              <w:t xml:space="preserve">Payment schedule </w:t>
            </w:r>
          </w:p>
        </w:tc>
      </w:tr>
      <w:tr w:rsidR="00270F68" w:rsidRPr="00270F68" w14:paraId="00C0A47A" w14:textId="77777777" w:rsidTr="00501807">
        <w:tc>
          <w:tcPr>
            <w:tcW w:w="1915" w:type="dxa"/>
          </w:tcPr>
          <w:p w14:paraId="3D321CE9" w14:textId="0F6AEA82" w:rsidR="001628AD" w:rsidRPr="00270F68" w:rsidRDefault="001F088C" w:rsidP="001628AD">
            <w:pPr>
              <w:pStyle w:val="Default"/>
              <w:ind w:right="61"/>
              <w:jc w:val="both"/>
              <w:rPr>
                <w:rFonts w:asciiTheme="minorHAnsi" w:eastAsia="Calibri" w:hAnsiTheme="minorHAnsi" w:cstheme="minorHAnsi"/>
                <w:iCs/>
                <w:color w:val="auto"/>
                <w:sz w:val="22"/>
                <w:szCs w:val="22"/>
              </w:rPr>
            </w:pPr>
            <w:r w:rsidRPr="00270F68">
              <w:rPr>
                <w:rFonts w:asciiTheme="minorHAnsi" w:eastAsia="Calibri" w:hAnsiTheme="minorHAnsi" w:cstheme="minorHAnsi"/>
                <w:iCs/>
                <w:color w:val="auto"/>
                <w:sz w:val="22"/>
                <w:szCs w:val="22"/>
              </w:rPr>
              <w:t>End of Task 2</w:t>
            </w:r>
          </w:p>
        </w:tc>
        <w:tc>
          <w:tcPr>
            <w:tcW w:w="3870" w:type="dxa"/>
          </w:tcPr>
          <w:p w14:paraId="468BDE80" w14:textId="1D593599" w:rsidR="001628AD" w:rsidRPr="00270F68" w:rsidRDefault="0081161D" w:rsidP="001628AD">
            <w:pPr>
              <w:pStyle w:val="Default"/>
              <w:ind w:right="61"/>
              <w:jc w:val="both"/>
              <w:rPr>
                <w:rFonts w:asciiTheme="minorHAnsi" w:eastAsia="Calibri" w:hAnsiTheme="minorHAnsi" w:cstheme="minorHAnsi"/>
                <w:i/>
                <w:color w:val="auto"/>
                <w:sz w:val="22"/>
                <w:szCs w:val="22"/>
              </w:rPr>
            </w:pPr>
            <w:r w:rsidRPr="00270F68">
              <w:rPr>
                <w:rFonts w:asciiTheme="minorHAnsi" w:eastAsia="Calibri" w:hAnsiTheme="minorHAnsi" w:cstheme="minorHAnsi"/>
                <w:i/>
                <w:color w:val="auto"/>
                <w:sz w:val="22"/>
                <w:szCs w:val="22"/>
              </w:rPr>
              <w:t>6 weeks after KOM</w:t>
            </w:r>
          </w:p>
        </w:tc>
        <w:tc>
          <w:tcPr>
            <w:tcW w:w="3565" w:type="dxa"/>
          </w:tcPr>
          <w:p w14:paraId="7EE3B5C1" w14:textId="713079FB" w:rsidR="001628AD" w:rsidRPr="00270F68" w:rsidRDefault="001F088C" w:rsidP="001628AD">
            <w:pPr>
              <w:pStyle w:val="Default"/>
              <w:ind w:right="61"/>
              <w:jc w:val="both"/>
              <w:rPr>
                <w:rFonts w:asciiTheme="minorHAnsi" w:eastAsia="Calibri" w:hAnsiTheme="minorHAnsi" w:cstheme="minorHAnsi"/>
                <w:iCs/>
                <w:color w:val="auto"/>
                <w:sz w:val="22"/>
                <w:szCs w:val="22"/>
              </w:rPr>
            </w:pPr>
            <w:r w:rsidRPr="00270F68">
              <w:rPr>
                <w:rFonts w:asciiTheme="minorHAnsi" w:eastAsia="Calibri" w:hAnsiTheme="minorHAnsi" w:cstheme="minorHAnsi"/>
                <w:iCs/>
                <w:color w:val="auto"/>
                <w:sz w:val="22"/>
                <w:szCs w:val="22"/>
              </w:rPr>
              <w:t>30%</w:t>
            </w:r>
          </w:p>
        </w:tc>
      </w:tr>
      <w:tr w:rsidR="00270F68" w:rsidRPr="00270F68" w14:paraId="24E11B93" w14:textId="77777777" w:rsidTr="00501807">
        <w:tc>
          <w:tcPr>
            <w:tcW w:w="1915" w:type="dxa"/>
          </w:tcPr>
          <w:p w14:paraId="79729D6E" w14:textId="7CE51BCC" w:rsidR="001628AD" w:rsidRPr="00270F68" w:rsidRDefault="001F088C" w:rsidP="001628AD">
            <w:pPr>
              <w:pStyle w:val="Default"/>
              <w:ind w:right="61"/>
              <w:jc w:val="both"/>
              <w:rPr>
                <w:rFonts w:asciiTheme="minorHAnsi" w:eastAsia="Calibri" w:hAnsiTheme="minorHAnsi" w:cstheme="minorHAnsi"/>
                <w:iCs/>
                <w:color w:val="auto"/>
                <w:sz w:val="22"/>
                <w:szCs w:val="22"/>
              </w:rPr>
            </w:pPr>
            <w:r w:rsidRPr="00270F68">
              <w:rPr>
                <w:rFonts w:asciiTheme="minorHAnsi" w:eastAsia="Calibri" w:hAnsiTheme="minorHAnsi" w:cstheme="minorHAnsi"/>
                <w:iCs/>
                <w:color w:val="auto"/>
                <w:sz w:val="22"/>
                <w:szCs w:val="22"/>
              </w:rPr>
              <w:t>End of Task 3</w:t>
            </w:r>
          </w:p>
        </w:tc>
        <w:tc>
          <w:tcPr>
            <w:tcW w:w="3870" w:type="dxa"/>
          </w:tcPr>
          <w:p w14:paraId="3D0E7F3F" w14:textId="17FF6DEB" w:rsidR="001628AD" w:rsidRPr="00270F68" w:rsidRDefault="00501807" w:rsidP="001628AD">
            <w:pPr>
              <w:pStyle w:val="Default"/>
              <w:ind w:right="61"/>
              <w:jc w:val="both"/>
              <w:rPr>
                <w:rFonts w:asciiTheme="minorHAnsi" w:eastAsia="Calibri" w:hAnsiTheme="minorHAnsi" w:cstheme="minorHAnsi"/>
                <w:i/>
                <w:color w:val="auto"/>
                <w:sz w:val="22"/>
                <w:szCs w:val="22"/>
              </w:rPr>
            </w:pPr>
            <w:r w:rsidRPr="00270F68">
              <w:rPr>
                <w:rFonts w:asciiTheme="minorHAnsi" w:eastAsia="Calibri" w:hAnsiTheme="minorHAnsi" w:cstheme="minorHAnsi"/>
                <w:i/>
                <w:color w:val="auto"/>
                <w:sz w:val="22"/>
                <w:szCs w:val="22"/>
              </w:rPr>
              <w:t>12 weeks after KOM</w:t>
            </w:r>
          </w:p>
        </w:tc>
        <w:tc>
          <w:tcPr>
            <w:tcW w:w="3565" w:type="dxa"/>
          </w:tcPr>
          <w:p w14:paraId="703463AF" w14:textId="0F12B592" w:rsidR="001628AD" w:rsidRPr="00270F68" w:rsidRDefault="001F088C" w:rsidP="001628AD">
            <w:pPr>
              <w:pStyle w:val="Default"/>
              <w:ind w:right="61"/>
              <w:jc w:val="both"/>
              <w:rPr>
                <w:rFonts w:asciiTheme="minorHAnsi" w:eastAsia="Calibri" w:hAnsiTheme="minorHAnsi" w:cstheme="minorHAnsi"/>
                <w:iCs/>
                <w:color w:val="auto"/>
                <w:sz w:val="22"/>
                <w:szCs w:val="22"/>
              </w:rPr>
            </w:pPr>
            <w:r w:rsidRPr="00270F68">
              <w:rPr>
                <w:rFonts w:asciiTheme="minorHAnsi" w:eastAsia="Calibri" w:hAnsiTheme="minorHAnsi" w:cstheme="minorHAnsi"/>
                <w:iCs/>
                <w:color w:val="auto"/>
                <w:sz w:val="22"/>
                <w:szCs w:val="22"/>
              </w:rPr>
              <w:t>3</w:t>
            </w:r>
            <w:r w:rsidR="001628AD" w:rsidRPr="00270F68">
              <w:rPr>
                <w:rFonts w:asciiTheme="minorHAnsi" w:eastAsia="Calibri" w:hAnsiTheme="minorHAnsi" w:cstheme="minorHAnsi"/>
                <w:iCs/>
                <w:color w:val="auto"/>
                <w:sz w:val="22"/>
                <w:szCs w:val="22"/>
              </w:rPr>
              <w:t xml:space="preserve">0% </w:t>
            </w:r>
          </w:p>
        </w:tc>
      </w:tr>
      <w:tr w:rsidR="00270F68" w:rsidRPr="00270F68" w14:paraId="1004918D" w14:textId="77777777" w:rsidTr="00501807">
        <w:tc>
          <w:tcPr>
            <w:tcW w:w="1915" w:type="dxa"/>
          </w:tcPr>
          <w:p w14:paraId="4917F39F" w14:textId="5D459708" w:rsidR="001628AD" w:rsidRPr="00270F68" w:rsidRDefault="001628AD" w:rsidP="001628AD">
            <w:pPr>
              <w:pStyle w:val="Default"/>
              <w:ind w:right="61"/>
              <w:jc w:val="both"/>
              <w:rPr>
                <w:rFonts w:asciiTheme="minorHAnsi" w:eastAsia="Calibri" w:hAnsiTheme="minorHAnsi" w:cstheme="minorHAnsi"/>
                <w:iCs/>
                <w:color w:val="auto"/>
                <w:sz w:val="22"/>
                <w:szCs w:val="22"/>
              </w:rPr>
            </w:pPr>
            <w:r w:rsidRPr="00270F68">
              <w:rPr>
                <w:rFonts w:asciiTheme="minorHAnsi" w:eastAsia="Calibri" w:hAnsiTheme="minorHAnsi" w:cstheme="minorHAnsi"/>
                <w:iCs/>
                <w:color w:val="auto"/>
                <w:sz w:val="22"/>
                <w:szCs w:val="22"/>
              </w:rPr>
              <w:t>Final report</w:t>
            </w:r>
          </w:p>
        </w:tc>
        <w:tc>
          <w:tcPr>
            <w:tcW w:w="3870" w:type="dxa"/>
          </w:tcPr>
          <w:p w14:paraId="36EA0696" w14:textId="679AA710" w:rsidR="001628AD" w:rsidRPr="00270F68" w:rsidRDefault="00501807" w:rsidP="001628AD">
            <w:pPr>
              <w:pStyle w:val="Default"/>
              <w:ind w:right="61"/>
              <w:jc w:val="both"/>
              <w:rPr>
                <w:rFonts w:asciiTheme="minorHAnsi" w:eastAsia="Calibri" w:hAnsiTheme="minorHAnsi" w:cstheme="minorHAnsi"/>
                <w:i/>
                <w:color w:val="auto"/>
                <w:sz w:val="22"/>
                <w:szCs w:val="22"/>
              </w:rPr>
            </w:pPr>
            <w:r w:rsidRPr="00270F68">
              <w:rPr>
                <w:rFonts w:asciiTheme="minorHAnsi" w:eastAsia="Calibri" w:hAnsiTheme="minorHAnsi" w:cstheme="minorHAnsi"/>
                <w:i/>
                <w:color w:val="auto"/>
                <w:sz w:val="22"/>
                <w:szCs w:val="22"/>
              </w:rPr>
              <w:t>16 weeks after KOM</w:t>
            </w:r>
          </w:p>
        </w:tc>
        <w:tc>
          <w:tcPr>
            <w:tcW w:w="3565" w:type="dxa"/>
          </w:tcPr>
          <w:p w14:paraId="4B0B6A94" w14:textId="34A4FC35" w:rsidR="001628AD" w:rsidRPr="00270F68" w:rsidRDefault="001F088C" w:rsidP="001628AD">
            <w:pPr>
              <w:pStyle w:val="Default"/>
              <w:ind w:right="61"/>
              <w:jc w:val="both"/>
              <w:rPr>
                <w:rFonts w:asciiTheme="minorHAnsi" w:eastAsia="Calibri" w:hAnsiTheme="minorHAnsi" w:cstheme="minorHAnsi"/>
                <w:iCs/>
                <w:color w:val="auto"/>
                <w:sz w:val="22"/>
                <w:szCs w:val="22"/>
              </w:rPr>
            </w:pPr>
            <w:r w:rsidRPr="00270F68">
              <w:rPr>
                <w:rFonts w:asciiTheme="minorHAnsi" w:eastAsia="Calibri" w:hAnsiTheme="minorHAnsi" w:cstheme="minorHAnsi"/>
                <w:iCs/>
                <w:color w:val="auto"/>
                <w:sz w:val="22"/>
                <w:szCs w:val="22"/>
              </w:rPr>
              <w:t>4</w:t>
            </w:r>
            <w:r w:rsidR="001628AD" w:rsidRPr="00270F68">
              <w:rPr>
                <w:rFonts w:asciiTheme="minorHAnsi" w:eastAsia="Calibri" w:hAnsiTheme="minorHAnsi" w:cstheme="minorHAnsi"/>
                <w:iCs/>
                <w:color w:val="auto"/>
                <w:sz w:val="22"/>
                <w:szCs w:val="22"/>
              </w:rPr>
              <w:t xml:space="preserve">0% </w:t>
            </w:r>
          </w:p>
        </w:tc>
      </w:tr>
    </w:tbl>
    <w:p w14:paraId="7FBE6939" w14:textId="596E7EE4" w:rsidR="001628AD" w:rsidRPr="00270F68" w:rsidRDefault="001628AD" w:rsidP="00F2067C">
      <w:pPr>
        <w:pStyle w:val="Heading1"/>
      </w:pPr>
      <w:r w:rsidRPr="00270F68">
        <w:lastRenderedPageBreak/>
        <w:t>Required qualifications and experience of the firm and proposed team</w:t>
      </w:r>
    </w:p>
    <w:p w14:paraId="335F1267" w14:textId="301840C4" w:rsidR="001628AD" w:rsidRPr="00270F68" w:rsidRDefault="001628AD" w:rsidP="001628AD">
      <w:pPr>
        <w:ind w:right="61"/>
        <w:rPr>
          <w:rFonts w:cstheme="minorHAnsi"/>
        </w:rPr>
      </w:pPr>
      <w:r w:rsidRPr="00270F68">
        <w:rPr>
          <w:rFonts w:cstheme="minorHAnsi"/>
        </w:rPr>
        <w:t xml:space="preserve">The Consultant shall work under the direct supervision of and report to the IFC’s project team leaders. The Consultant shall work closely with the project team and relevant stakeholders.   </w:t>
      </w:r>
    </w:p>
    <w:p w14:paraId="1C55EED0" w14:textId="374A425D" w:rsidR="001628AD" w:rsidRPr="00270F68" w:rsidRDefault="001628AD" w:rsidP="001628AD">
      <w:pPr>
        <w:ind w:right="61"/>
        <w:rPr>
          <w:rFonts w:cstheme="minorHAnsi"/>
        </w:rPr>
      </w:pPr>
      <w:r w:rsidRPr="00270F68">
        <w:rPr>
          <w:rFonts w:cstheme="minorHAnsi"/>
        </w:rPr>
        <w:t xml:space="preserve">Due to the unique combination of skills needed to carry out the tasks in this TOR, consultants are encouraged to develop a consortium of individuals with specialized skills. E&amp;S tasks need to be carried out by specialized consultancy resources with international experience and extensive working experience implementing IFC’s E&amp;S Performance Standards for the private sector and EHS Guidelines for the Wind Energy Sector.  </w:t>
      </w:r>
    </w:p>
    <w:p w14:paraId="051D4126" w14:textId="77777777" w:rsidR="001628AD" w:rsidRPr="00270F68" w:rsidRDefault="001628AD" w:rsidP="00326B9F">
      <w:pPr>
        <w:pStyle w:val="Heading2"/>
      </w:pPr>
      <w:r w:rsidRPr="00270F68">
        <w:t>Qualifications for Technical Task Areas</w:t>
      </w:r>
    </w:p>
    <w:p w14:paraId="4E5907F9" w14:textId="152A0235" w:rsidR="001628AD" w:rsidRPr="00270F68" w:rsidRDefault="001628AD" w:rsidP="001628AD">
      <w:pPr>
        <w:rPr>
          <w:rFonts w:cstheme="minorHAnsi"/>
        </w:rPr>
      </w:pPr>
      <w:r w:rsidRPr="00270F68">
        <w:rPr>
          <w:rFonts w:cstheme="minorHAnsi"/>
        </w:rPr>
        <w:t xml:space="preserve">The interested consulting firms should have at least 10 years of experience in wind project site development </w:t>
      </w:r>
      <w:r w:rsidRPr="00270F68">
        <w:rPr>
          <w:rFonts w:cstheme="minorHAnsi"/>
          <w:i/>
          <w:iCs/>
        </w:rPr>
        <w:t>[covering more than 1 GW of projects].</w:t>
      </w:r>
      <w:r w:rsidRPr="00270F68">
        <w:rPr>
          <w:rFonts w:cstheme="minorHAnsi"/>
        </w:rPr>
        <w:t xml:space="preserve"> The firm should include a variety of experts covering the different skill sets required for this assignment, including strong technical and financial</w:t>
      </w:r>
      <w:r w:rsidR="0031660A" w:rsidRPr="00270F68">
        <w:rPr>
          <w:rFonts w:cstheme="minorHAnsi"/>
        </w:rPr>
        <w:t xml:space="preserve"> modeling</w:t>
      </w:r>
      <w:r w:rsidRPr="00270F68">
        <w:rPr>
          <w:rFonts w:cstheme="minorHAnsi"/>
        </w:rPr>
        <w:t xml:space="preserve"> skills of wind IPP projects. The </w:t>
      </w:r>
      <w:r w:rsidR="00BA0CD5" w:rsidRPr="00270F68">
        <w:rPr>
          <w:rFonts w:cstheme="minorHAnsi"/>
        </w:rPr>
        <w:t>Consultant</w:t>
      </w:r>
      <w:r w:rsidRPr="00270F68">
        <w:rPr>
          <w:rFonts w:cstheme="minorHAnsi"/>
        </w:rPr>
        <w:t xml:space="preserve"> shall provide a description of the team, including names of the individuals proposed for the Project, their credentials and relevant experience. The </w:t>
      </w:r>
      <w:r w:rsidR="00BA0CD5" w:rsidRPr="00270F68">
        <w:rPr>
          <w:rFonts w:cstheme="minorHAnsi"/>
        </w:rPr>
        <w:t>Consultant</w:t>
      </w:r>
      <w:r w:rsidRPr="00270F68">
        <w:rPr>
          <w:rFonts w:cstheme="minorHAnsi"/>
        </w:rPr>
        <w:t xml:space="preserve"> shall provide individuals with extensive experience in similar type projects. Past experience in the country/region will be a plus. Note that firms will not be able to substitute personnel working on the Project except with the expressed consent of the Sponsor and Lenders. A clear description of the role, level of effort and work location for each proposed individual shall be provided.</w:t>
      </w:r>
    </w:p>
    <w:p w14:paraId="6905EF18" w14:textId="77777777" w:rsidR="001628AD" w:rsidRPr="00270F68" w:rsidRDefault="001628AD" w:rsidP="00326B9F">
      <w:pPr>
        <w:pStyle w:val="Heading2"/>
      </w:pPr>
      <w:r w:rsidRPr="00270F68">
        <w:t>Qualifications for E&amp;S Task Areas</w:t>
      </w:r>
    </w:p>
    <w:p w14:paraId="23B2566B" w14:textId="77777777" w:rsidR="001628AD" w:rsidRPr="00270F68" w:rsidRDefault="001628AD" w:rsidP="001628AD">
      <w:pPr>
        <w:rPr>
          <w:rFonts w:cstheme="minorHAnsi"/>
        </w:rPr>
      </w:pPr>
      <w:r w:rsidRPr="00270F68">
        <w:rPr>
          <w:rFonts w:cstheme="minorHAnsi"/>
        </w:rPr>
        <w:t>Specialized resources required include the following:</w:t>
      </w:r>
    </w:p>
    <w:p w14:paraId="0BAA1387" w14:textId="10E6886E" w:rsidR="001628AD" w:rsidRPr="00270F68" w:rsidRDefault="001628AD" w:rsidP="001628AD">
      <w:pPr>
        <w:pStyle w:val="ListParagraph"/>
        <w:numPr>
          <w:ilvl w:val="0"/>
          <w:numId w:val="3"/>
        </w:numPr>
        <w:autoSpaceDE w:val="0"/>
        <w:autoSpaceDN w:val="0"/>
        <w:adjustRightInd w:val="0"/>
        <w:spacing w:after="0" w:line="240" w:lineRule="auto"/>
        <w:ind w:right="120"/>
        <w:rPr>
          <w:rFonts w:cstheme="minorHAnsi"/>
        </w:rPr>
      </w:pPr>
      <w:r w:rsidRPr="00270F68">
        <w:rPr>
          <w:rFonts w:cstheme="minorHAnsi"/>
        </w:rPr>
        <w:t xml:space="preserve">An international ornithologist with at least 10 years professional experience on wind power projects and working experience with migratory soaring birds of </w:t>
      </w:r>
      <w:r w:rsidR="00A22792" w:rsidRPr="00270F68">
        <w:rPr>
          <w:rFonts w:cstheme="minorHAnsi"/>
        </w:rPr>
        <w:t>Mongolia</w:t>
      </w:r>
      <w:r w:rsidRPr="00270F68">
        <w:rPr>
          <w:rFonts w:cstheme="minorHAnsi"/>
        </w:rPr>
        <w:t>. The ornithologist must have experience not only conducting ESIAs and baseline surveys, but also working directly with developers on operational wind power projects.</w:t>
      </w:r>
    </w:p>
    <w:p w14:paraId="16BBCE8E" w14:textId="21FFF766" w:rsidR="001628AD" w:rsidRPr="00270F68" w:rsidRDefault="001628AD" w:rsidP="001628AD">
      <w:pPr>
        <w:pStyle w:val="ListParagraph"/>
        <w:numPr>
          <w:ilvl w:val="0"/>
          <w:numId w:val="3"/>
        </w:numPr>
        <w:autoSpaceDE w:val="0"/>
        <w:autoSpaceDN w:val="0"/>
        <w:adjustRightInd w:val="0"/>
        <w:spacing w:after="0" w:line="240" w:lineRule="auto"/>
        <w:ind w:right="120"/>
        <w:rPr>
          <w:rFonts w:cstheme="minorHAnsi"/>
        </w:rPr>
      </w:pPr>
      <w:r w:rsidRPr="00270F68">
        <w:rPr>
          <w:rFonts w:cstheme="minorHAnsi"/>
        </w:rPr>
        <w:t xml:space="preserve">A local ornithologist that has a good working relationship with </w:t>
      </w:r>
      <w:r w:rsidR="00BA0CD5" w:rsidRPr="00270F68">
        <w:rPr>
          <w:rFonts w:cstheme="minorHAnsi"/>
        </w:rPr>
        <w:t xml:space="preserve">national conservation </w:t>
      </w:r>
      <w:r w:rsidR="00273827" w:rsidRPr="00270F68">
        <w:rPr>
          <w:rFonts w:cstheme="minorHAnsi"/>
        </w:rPr>
        <w:t>organizations</w:t>
      </w:r>
      <w:r w:rsidRPr="00270F68">
        <w:rPr>
          <w:rFonts w:cstheme="minorHAnsi"/>
        </w:rPr>
        <w:t xml:space="preserve"> and who possesses extensive experience in conducting avian surveys in Mongolia for soaring birds at risk to wind farm development.</w:t>
      </w:r>
    </w:p>
    <w:p w14:paraId="62F8BF6D" w14:textId="5B952C76" w:rsidR="00F04816" w:rsidRPr="00270F68" w:rsidRDefault="00F04816" w:rsidP="00F04816">
      <w:pPr>
        <w:pStyle w:val="BodyText"/>
        <w:numPr>
          <w:ilvl w:val="0"/>
          <w:numId w:val="3"/>
        </w:numPr>
        <w:spacing w:line="252" w:lineRule="auto"/>
        <w:rPr>
          <w:rFonts w:ascii="Calibri" w:hAnsi="Calibri"/>
        </w:rPr>
      </w:pPr>
      <w:r w:rsidRPr="00270F68">
        <w:rPr>
          <w:rFonts w:ascii="Calibri" w:hAnsi="Calibri"/>
        </w:rPr>
        <w:t>A local bat specialist with familiarity and working knowledge of the bat communities in either Mongolia or the wider Central Asia region.</w:t>
      </w:r>
    </w:p>
    <w:p w14:paraId="3DEFCD04" w14:textId="7332C21B" w:rsidR="001628AD" w:rsidRPr="00270F68" w:rsidRDefault="001628AD" w:rsidP="001628AD">
      <w:pPr>
        <w:pStyle w:val="ListParagraph"/>
        <w:numPr>
          <w:ilvl w:val="0"/>
          <w:numId w:val="3"/>
        </w:numPr>
        <w:autoSpaceDE w:val="0"/>
        <w:autoSpaceDN w:val="0"/>
        <w:adjustRightInd w:val="0"/>
        <w:spacing w:after="0" w:line="240" w:lineRule="auto"/>
        <w:ind w:right="120"/>
        <w:rPr>
          <w:rFonts w:cstheme="minorHAnsi"/>
        </w:rPr>
      </w:pPr>
      <w:r w:rsidRPr="00270F68">
        <w:rPr>
          <w:rFonts w:cstheme="minorHAnsi"/>
        </w:rPr>
        <w:t xml:space="preserve">A resettlement specialist with </w:t>
      </w:r>
      <w:r w:rsidR="00BA0CD5" w:rsidRPr="00270F68">
        <w:rPr>
          <w:rFonts w:cstheme="minorHAnsi"/>
        </w:rPr>
        <w:t xml:space="preserve">experience with wind energy projects and </w:t>
      </w:r>
      <w:r w:rsidRPr="00270F68">
        <w:rPr>
          <w:rFonts w:cstheme="minorHAnsi"/>
        </w:rPr>
        <w:t>at least 10-years professional experience with IFC’s Performance Standard 5 in Central Asia with excellent communication skills.</w:t>
      </w:r>
    </w:p>
    <w:p w14:paraId="3398EB78" w14:textId="14D036FD" w:rsidR="001628AD" w:rsidRPr="00270F68" w:rsidRDefault="001628AD" w:rsidP="001628AD">
      <w:pPr>
        <w:pStyle w:val="ListParagraph"/>
        <w:numPr>
          <w:ilvl w:val="0"/>
          <w:numId w:val="3"/>
        </w:numPr>
        <w:autoSpaceDE w:val="0"/>
        <w:autoSpaceDN w:val="0"/>
        <w:adjustRightInd w:val="0"/>
        <w:spacing w:after="0" w:line="240" w:lineRule="auto"/>
        <w:ind w:right="120"/>
        <w:rPr>
          <w:rFonts w:cstheme="minorHAnsi"/>
        </w:rPr>
      </w:pPr>
      <w:r w:rsidRPr="00270F68">
        <w:rPr>
          <w:rFonts w:cstheme="minorHAnsi"/>
        </w:rPr>
        <w:t xml:space="preserve">A social specialist from Mongolia with experience in stakeholder engagement and consultation </w:t>
      </w:r>
      <w:r w:rsidR="00BA0CD5" w:rsidRPr="00270F68">
        <w:rPr>
          <w:rFonts w:cstheme="minorHAnsi"/>
        </w:rPr>
        <w:t xml:space="preserve">and knowledge of local cultures and traditions </w:t>
      </w:r>
      <w:r w:rsidRPr="00270F68">
        <w:rPr>
          <w:rFonts w:cstheme="minorHAnsi"/>
        </w:rPr>
        <w:t>that could accompany and provide guidance to the resettlement specialist, as well as written and oral translation skills.</w:t>
      </w:r>
    </w:p>
    <w:p w14:paraId="0C8E2C58" w14:textId="77777777" w:rsidR="001628AD" w:rsidRPr="00270F68" w:rsidRDefault="001628AD" w:rsidP="001628AD">
      <w:pPr>
        <w:pStyle w:val="ListParagraph"/>
        <w:numPr>
          <w:ilvl w:val="0"/>
          <w:numId w:val="3"/>
        </w:numPr>
        <w:autoSpaceDE w:val="0"/>
        <w:autoSpaceDN w:val="0"/>
        <w:adjustRightInd w:val="0"/>
        <w:spacing w:after="0" w:line="240" w:lineRule="auto"/>
        <w:ind w:right="120"/>
        <w:rPr>
          <w:rFonts w:cstheme="minorHAnsi"/>
        </w:rPr>
      </w:pPr>
      <w:r w:rsidRPr="00270F68">
        <w:rPr>
          <w:rFonts w:cstheme="minorHAnsi"/>
        </w:rPr>
        <w:t>A GIS specialist with 5 years of professional experience acquiring publicly available spatial data to map E&amp;S risks.</w:t>
      </w:r>
    </w:p>
    <w:p w14:paraId="4547E5F7" w14:textId="6477649C" w:rsidR="001628AD" w:rsidRPr="00270F68" w:rsidRDefault="001628AD" w:rsidP="001628AD">
      <w:pPr>
        <w:pStyle w:val="ListParagraph"/>
        <w:numPr>
          <w:ilvl w:val="0"/>
          <w:numId w:val="3"/>
        </w:numPr>
        <w:autoSpaceDE w:val="0"/>
        <w:autoSpaceDN w:val="0"/>
        <w:adjustRightInd w:val="0"/>
        <w:spacing w:after="0" w:line="240" w:lineRule="auto"/>
        <w:ind w:right="120"/>
        <w:rPr>
          <w:rFonts w:cstheme="minorHAnsi"/>
        </w:rPr>
      </w:pPr>
      <w:r w:rsidRPr="00270F68">
        <w:rPr>
          <w:rFonts w:cstheme="minorHAnsi"/>
        </w:rPr>
        <w:t>An E&amp;S Project Manager with at least 10 years professional experience on private sector projects, implementing IFC’s Performance Standards that is practical-minded with excellent writing abilities.</w:t>
      </w:r>
    </w:p>
    <w:p w14:paraId="22FCA42F" w14:textId="1025E4FD" w:rsidR="001628AD" w:rsidRPr="00270F68" w:rsidRDefault="001628AD" w:rsidP="00501807">
      <w:pPr>
        <w:pStyle w:val="Heading2"/>
      </w:pPr>
      <w:r w:rsidRPr="00270F68">
        <w:lastRenderedPageBreak/>
        <w:t>Estimated level of effort</w:t>
      </w:r>
    </w:p>
    <w:p w14:paraId="51336641" w14:textId="76CA3FEB" w:rsidR="001628AD" w:rsidRPr="00270F68" w:rsidRDefault="001628AD" w:rsidP="001628AD">
      <w:pPr>
        <w:ind w:left="-30" w:right="61"/>
        <w:rPr>
          <w:rFonts w:cstheme="minorHAnsi"/>
        </w:rPr>
      </w:pPr>
      <w:r w:rsidRPr="00270F68">
        <w:rPr>
          <w:rFonts w:cstheme="minorHAnsi"/>
        </w:rPr>
        <w:t>The firm would be selected based on a lump sum contracting approach with appropriate installment payments that can be agreed upon with the Consultant based on the level of estimated effort and experience / qualification of the team. The contract is estimated to last [4 months] starting in or around [</w:t>
      </w:r>
      <w:r w:rsidR="0067265F" w:rsidRPr="00270F68">
        <w:rPr>
          <w:rFonts w:cstheme="minorHAnsi"/>
        </w:rPr>
        <w:t>September</w:t>
      </w:r>
      <w:r w:rsidR="0067265F" w:rsidRPr="00270F68">
        <w:rPr>
          <w:rFonts w:cstheme="minorHAnsi"/>
        </w:rPr>
        <w:t xml:space="preserve"> </w:t>
      </w:r>
      <w:r w:rsidRPr="00270F68">
        <w:rPr>
          <w:rFonts w:cstheme="minorHAnsi"/>
        </w:rPr>
        <w:t xml:space="preserve">2021] (final dates can be agreed upon with the Consultant), and all deliverables are expected to be submitted to the client by the end of the contract. </w:t>
      </w:r>
      <w:r w:rsidR="006C0E0F" w:rsidRPr="00270F68">
        <w:rPr>
          <w:rFonts w:cstheme="minorHAnsi"/>
        </w:rPr>
        <w:t xml:space="preserve">Consultants must assume all costs associated with travel </w:t>
      </w:r>
      <w:r w:rsidR="00B14B31" w:rsidRPr="00270F68">
        <w:rPr>
          <w:rFonts w:cstheme="minorHAnsi"/>
        </w:rPr>
        <w:t>(</w:t>
      </w:r>
      <w:r w:rsidR="006C0E0F" w:rsidRPr="00270F68">
        <w:rPr>
          <w:rFonts w:cstheme="minorHAnsi"/>
        </w:rPr>
        <w:t xml:space="preserve">to and </w:t>
      </w:r>
      <w:r w:rsidR="00262502" w:rsidRPr="00270F68">
        <w:rPr>
          <w:rFonts w:cstheme="minorHAnsi"/>
        </w:rPr>
        <w:t>from Mongolia, as well as within</w:t>
      </w:r>
      <w:r w:rsidR="00B14B31" w:rsidRPr="00270F68">
        <w:rPr>
          <w:rFonts w:cstheme="minorHAnsi"/>
        </w:rPr>
        <w:t xml:space="preserve">) as well as lodging </w:t>
      </w:r>
      <w:r w:rsidR="00243DFA" w:rsidRPr="00270F68">
        <w:rPr>
          <w:rFonts w:cstheme="minorHAnsi"/>
        </w:rPr>
        <w:t>and related charges</w:t>
      </w:r>
      <w:r w:rsidR="00262502" w:rsidRPr="00270F68">
        <w:rPr>
          <w:rFonts w:cstheme="minorHAnsi"/>
        </w:rPr>
        <w:t xml:space="preserve">. For the purposes of costing, the Consultant should assume that </w:t>
      </w:r>
      <w:r w:rsidR="00807CE5" w:rsidRPr="00270F68">
        <w:rPr>
          <w:rFonts w:cstheme="minorHAnsi"/>
        </w:rPr>
        <w:t>all [5] sites will be visited within a</w:t>
      </w:r>
      <w:r w:rsidR="004A3AFA" w:rsidRPr="00270F68">
        <w:rPr>
          <w:rFonts w:cstheme="minorHAnsi"/>
        </w:rPr>
        <w:t>n eight</w:t>
      </w:r>
      <w:r w:rsidR="00273827" w:rsidRPr="00270F68">
        <w:rPr>
          <w:rFonts w:cstheme="minorHAnsi"/>
        </w:rPr>
        <w:t xml:space="preserve"> </w:t>
      </w:r>
      <w:r w:rsidR="00807CE5" w:rsidRPr="00270F68">
        <w:rPr>
          <w:rFonts w:cstheme="minorHAnsi"/>
        </w:rPr>
        <w:t xml:space="preserve">day period using </w:t>
      </w:r>
      <w:r w:rsidR="00273827" w:rsidRPr="00270F68">
        <w:rPr>
          <w:rFonts w:cstheme="minorHAnsi"/>
        </w:rPr>
        <w:t xml:space="preserve">only </w:t>
      </w:r>
      <w:r w:rsidR="00807CE5" w:rsidRPr="00270F68">
        <w:rPr>
          <w:rFonts w:cstheme="minorHAnsi"/>
        </w:rPr>
        <w:t>land transportation</w:t>
      </w:r>
      <w:r w:rsidR="00B14B31" w:rsidRPr="00270F68">
        <w:rPr>
          <w:rFonts w:cstheme="minorHAnsi"/>
        </w:rPr>
        <w:t>.</w:t>
      </w:r>
    </w:p>
    <w:p w14:paraId="364F0EB1" w14:textId="77777777" w:rsidR="001628AD" w:rsidRPr="00270F68" w:rsidRDefault="001628AD" w:rsidP="001628AD">
      <w:pPr>
        <w:rPr>
          <w:rFonts w:cstheme="minorHAnsi"/>
        </w:rPr>
      </w:pPr>
    </w:p>
    <w:sectPr w:rsidR="001628AD" w:rsidRPr="00270F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D9814" w14:textId="77777777" w:rsidR="00DA0CA9" w:rsidRDefault="00DA0CA9" w:rsidP="001628AD">
      <w:pPr>
        <w:spacing w:after="0" w:line="240" w:lineRule="auto"/>
      </w:pPr>
      <w:r>
        <w:separator/>
      </w:r>
    </w:p>
  </w:endnote>
  <w:endnote w:type="continuationSeparator" w:id="0">
    <w:p w14:paraId="746EF4D3" w14:textId="77777777" w:rsidR="00DA0CA9" w:rsidRDefault="00DA0CA9" w:rsidP="00162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EFF32" w14:textId="77777777" w:rsidR="00DA0CA9" w:rsidRDefault="00DA0CA9" w:rsidP="001628AD">
      <w:pPr>
        <w:spacing w:after="0" w:line="240" w:lineRule="auto"/>
      </w:pPr>
      <w:r>
        <w:separator/>
      </w:r>
    </w:p>
  </w:footnote>
  <w:footnote w:type="continuationSeparator" w:id="0">
    <w:p w14:paraId="198435A3" w14:textId="77777777" w:rsidR="00DA0CA9" w:rsidRDefault="00DA0CA9" w:rsidP="001628AD">
      <w:pPr>
        <w:spacing w:after="0" w:line="240" w:lineRule="auto"/>
      </w:pPr>
      <w:r>
        <w:continuationSeparator/>
      </w:r>
    </w:p>
  </w:footnote>
  <w:footnote w:id="1">
    <w:p w14:paraId="7FB598E0" w14:textId="77777777" w:rsidR="001628AD" w:rsidRDefault="001628AD" w:rsidP="001628AD">
      <w:pPr>
        <w:pStyle w:val="FootnoteText"/>
      </w:pPr>
      <w:r>
        <w:rPr>
          <w:rStyle w:val="FootnoteReference"/>
        </w:rPr>
        <w:footnoteRef/>
      </w:r>
      <w:r>
        <w:t xml:space="preserve"> </w:t>
      </w:r>
      <w:hyperlink r:id="rId1" w:history="1">
        <w:r w:rsidRPr="000B4549">
          <w:rPr>
            <w:rStyle w:val="Hyperlink"/>
          </w:rPr>
          <w:t>http://www.worldbank.org/en/projects-operations/environmental-and-social-framework/brief/environmental-and-social-standards</w:t>
        </w:r>
      </w:hyperlink>
      <w:r>
        <w:t xml:space="preserve"> </w:t>
      </w:r>
    </w:p>
  </w:footnote>
  <w:footnote w:id="2">
    <w:p w14:paraId="74B6C767" w14:textId="77777777" w:rsidR="001628AD" w:rsidRDefault="001628AD" w:rsidP="001628AD">
      <w:pPr>
        <w:pStyle w:val="FootnoteText"/>
      </w:pPr>
      <w:r>
        <w:rPr>
          <w:rStyle w:val="FootnoteReference"/>
        </w:rPr>
        <w:footnoteRef/>
      </w:r>
      <w:r>
        <w:t xml:space="preserve"> </w:t>
      </w:r>
      <w:hyperlink r:id="rId2" w:history="1">
        <w:r w:rsidRPr="000B4549">
          <w:rPr>
            <w:rStyle w:val="Hyperlink"/>
          </w:rPr>
          <w:t>www.ifc.org/performancestandards</w:t>
        </w:r>
      </w:hyperlink>
      <w:r>
        <w:t xml:space="preserve"> </w:t>
      </w:r>
    </w:p>
  </w:footnote>
  <w:footnote w:id="3">
    <w:p w14:paraId="230CA857" w14:textId="77777777" w:rsidR="001628AD" w:rsidRDefault="001628AD" w:rsidP="001628AD">
      <w:pPr>
        <w:pStyle w:val="FootnoteText"/>
        <w:jc w:val="left"/>
      </w:pPr>
      <w:r>
        <w:rPr>
          <w:rStyle w:val="FootnoteReference"/>
        </w:rPr>
        <w:footnoteRef/>
      </w:r>
      <w:r>
        <w:t xml:space="preserve"> Available on the IFC website at www.ifc.org</w:t>
      </w:r>
    </w:p>
  </w:footnote>
  <w:footnote w:id="4">
    <w:p w14:paraId="7D216942" w14:textId="45391A9A" w:rsidR="001628AD" w:rsidRDefault="001628AD" w:rsidP="00A134D8">
      <w:pPr>
        <w:pStyle w:val="FootnoteText"/>
        <w:jc w:val="left"/>
      </w:pPr>
      <w:r>
        <w:rPr>
          <w:rStyle w:val="FootnoteReference"/>
        </w:rPr>
        <w:footnoteRef/>
      </w:r>
      <w:r>
        <w:t xml:space="preserve"> Available on the IFC website at www.ifc.org</w:t>
      </w:r>
    </w:p>
  </w:footnote>
  <w:footnote w:id="5">
    <w:p w14:paraId="3888B505" w14:textId="7E20B97A" w:rsidR="003229CE" w:rsidRDefault="003229CE" w:rsidP="003229CE">
      <w:pPr>
        <w:pStyle w:val="FootnoteText"/>
      </w:pPr>
      <w:r>
        <w:rPr>
          <w:rStyle w:val="FootnoteReference"/>
        </w:rPr>
        <w:footnoteRef/>
      </w:r>
      <w:r>
        <w:t xml:space="preserve"> Mongolia: Wind and Solar Site Identification Report</w:t>
      </w:r>
      <w:r w:rsidR="0021205E">
        <w:t xml:space="preserve">, </w:t>
      </w:r>
      <w:r w:rsidR="0021205E" w:rsidRPr="0021205E">
        <w:t>17 March 2020</w:t>
      </w:r>
    </w:p>
  </w:footnote>
  <w:footnote w:id="6">
    <w:p w14:paraId="793CAE74" w14:textId="77777777" w:rsidR="00C20FE2" w:rsidRDefault="00C20FE2" w:rsidP="00C20FE2">
      <w:pPr>
        <w:pStyle w:val="FootnoteText"/>
      </w:pPr>
      <w:r>
        <w:rPr>
          <w:rStyle w:val="FootnoteReference"/>
        </w:rPr>
        <w:footnoteRef/>
      </w:r>
      <w:r>
        <w:t xml:space="preserve"> </w:t>
      </w:r>
      <w:hyperlink r:id="rId3" w:history="1">
        <w:r>
          <w:rPr>
            <w:rStyle w:val="Hyperlink"/>
          </w:rPr>
          <w:t>https://www.ibat-alliance.org/</w:t>
        </w:r>
      </w:hyperlink>
    </w:p>
  </w:footnote>
  <w:footnote w:id="7">
    <w:p w14:paraId="27FD8A09" w14:textId="77777777" w:rsidR="00C20FE2" w:rsidRDefault="00C20FE2" w:rsidP="00C20FE2">
      <w:pPr>
        <w:pStyle w:val="FootnoteText"/>
      </w:pPr>
      <w:r>
        <w:rPr>
          <w:rStyle w:val="FootnoteReference"/>
        </w:rPr>
        <w:footnoteRef/>
      </w:r>
      <w:r>
        <w:t xml:space="preserve"> </w:t>
      </w:r>
      <w:r w:rsidRPr="00254EFC">
        <w:rPr>
          <w:i/>
          <w:iCs/>
        </w:rPr>
        <w:t>Inter alia</w:t>
      </w:r>
      <w:r>
        <w:t xml:space="preserve"> Key Biodiversity Areas, Important Bird and Biodiversity Areas, World Heritage Sites, Man and the Biosphere Reserves, Ramsar Sites, etc.</w:t>
      </w:r>
    </w:p>
  </w:footnote>
  <w:footnote w:id="8">
    <w:p w14:paraId="56BC0541" w14:textId="77777777" w:rsidR="00B7058E" w:rsidRDefault="00B7058E" w:rsidP="00B7058E">
      <w:pPr>
        <w:pStyle w:val="FootnoteText"/>
      </w:pPr>
      <w:r>
        <w:rPr>
          <w:rStyle w:val="FootnoteReference"/>
        </w:rPr>
        <w:footnoteRef/>
      </w:r>
      <w:r>
        <w:t xml:space="preserve"> </w:t>
      </w:r>
      <w:r w:rsidRPr="008861B5">
        <w:rPr>
          <w:rFonts w:asciiTheme="minorHAnsi" w:hAnsiTheme="minorHAnsi" w:cstheme="minorHAnsi"/>
        </w:rPr>
        <w:t>The nomenclature of the flyways varies according to source. The Mongolian Red List for Birds uses the terms East Asian and Australasian, Central Asian, West Asian Flyways.</w:t>
      </w:r>
    </w:p>
  </w:footnote>
  <w:footnote w:id="9">
    <w:p w14:paraId="20AFE778" w14:textId="0B11B31F" w:rsidR="006A722C" w:rsidRPr="00DE5393" w:rsidRDefault="006A722C" w:rsidP="006A722C">
      <w:pPr>
        <w:pStyle w:val="FootnoteText"/>
        <w:rPr>
          <w:rFonts w:asciiTheme="minorHAnsi" w:hAnsiTheme="minorHAnsi" w:cstheme="minorHAnsi"/>
          <w:szCs w:val="18"/>
        </w:rPr>
      </w:pPr>
      <w:r w:rsidRPr="00DE5393">
        <w:rPr>
          <w:rStyle w:val="FootnoteReference"/>
          <w:rFonts w:asciiTheme="minorHAnsi" w:hAnsiTheme="minorHAnsi" w:cstheme="minorHAnsi"/>
          <w:szCs w:val="18"/>
        </w:rPr>
        <w:footnoteRef/>
      </w:r>
      <w:r w:rsidRPr="00DE5393">
        <w:rPr>
          <w:rFonts w:asciiTheme="minorHAnsi" w:hAnsiTheme="minorHAnsi" w:cstheme="minorHAnsi"/>
          <w:szCs w:val="18"/>
        </w:rPr>
        <w:t xml:space="preserve"> Key informant interviews are qualitative in-depth interviews with stakeholders who know what is occurring at community level and in the area interested by the project, (i.e. government official, community representatives, etc.). The purpose of key informant interviews is to collect information from a wide range of stakeholders who have firsthand knowledge about the community and/or the project. </w:t>
      </w:r>
      <w:r w:rsidRPr="00DE5393">
        <w:rPr>
          <w:rFonts w:asciiTheme="minorHAnsi" w:hAnsiTheme="minorHAnsi" w:cstheme="minorHAnsi"/>
          <w:szCs w:val="18"/>
          <w:u w:val="single"/>
        </w:rPr>
        <w:t xml:space="preserve">Before interacting with any stakeholder, the </w:t>
      </w:r>
      <w:r w:rsidR="00D82058">
        <w:rPr>
          <w:rFonts w:asciiTheme="minorHAnsi" w:hAnsiTheme="minorHAnsi" w:cstheme="minorHAnsi"/>
          <w:szCs w:val="18"/>
          <w:u w:val="single"/>
        </w:rPr>
        <w:t>C</w:t>
      </w:r>
      <w:r w:rsidRPr="00DE5393">
        <w:rPr>
          <w:rFonts w:asciiTheme="minorHAnsi" w:hAnsiTheme="minorHAnsi" w:cstheme="minorHAnsi"/>
          <w:szCs w:val="18"/>
          <w:u w:val="single"/>
        </w:rPr>
        <w:t xml:space="preserve">onsultant shall coordinate with </w:t>
      </w:r>
      <w:r w:rsidR="00D82058">
        <w:rPr>
          <w:rFonts w:asciiTheme="minorHAnsi" w:hAnsiTheme="minorHAnsi" w:cstheme="minorHAnsi"/>
          <w:szCs w:val="18"/>
          <w:u w:val="single"/>
        </w:rPr>
        <w:t>the GoM</w:t>
      </w:r>
      <w:r w:rsidRPr="00DE5393">
        <w:rPr>
          <w:rFonts w:asciiTheme="minorHAnsi" w:hAnsiTheme="minorHAnsi" w:cstheme="minorHAnsi"/>
          <w:szCs w:val="18"/>
          <w:u w:val="single"/>
        </w:rPr>
        <w:t xml:space="preserve"> and IFC.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04942"/>
    <w:multiLevelType w:val="hybridMultilevel"/>
    <w:tmpl w:val="FD3ECBE6"/>
    <w:lvl w:ilvl="0" w:tplc="AA0C38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92F60"/>
    <w:multiLevelType w:val="hybridMultilevel"/>
    <w:tmpl w:val="25DE3A56"/>
    <w:lvl w:ilvl="0" w:tplc="6BE0D65C">
      <w:start w:val="1"/>
      <w:numFmt w:val="bullet"/>
      <w:lvlText w:val=""/>
      <w:lvlJc w:val="left"/>
      <w:pPr>
        <w:ind w:left="720" w:hanging="360"/>
      </w:pPr>
      <w:rPr>
        <w:rFonts w:ascii="Symbol" w:hAnsi="Symbol" w:hint="default"/>
      </w:rPr>
    </w:lvl>
    <w:lvl w:ilvl="1" w:tplc="916ED27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806C2"/>
    <w:multiLevelType w:val="hybridMultilevel"/>
    <w:tmpl w:val="C9FED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14364"/>
    <w:multiLevelType w:val="hybridMultilevel"/>
    <w:tmpl w:val="77BE184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B4FB7"/>
    <w:multiLevelType w:val="hybridMultilevel"/>
    <w:tmpl w:val="E2767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96AC1"/>
    <w:multiLevelType w:val="hybridMultilevel"/>
    <w:tmpl w:val="C5749206"/>
    <w:lvl w:ilvl="0" w:tplc="54FC9B6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7B77BF"/>
    <w:multiLevelType w:val="hybridMultilevel"/>
    <w:tmpl w:val="4DFA023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5E227D44"/>
    <w:multiLevelType w:val="hybridMultilevel"/>
    <w:tmpl w:val="189C91C2"/>
    <w:lvl w:ilvl="0" w:tplc="6BB440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4F23AC"/>
    <w:multiLevelType w:val="hybridMultilevel"/>
    <w:tmpl w:val="FFFFFFFF"/>
    <w:lvl w:ilvl="0" w:tplc="75F240A6">
      <w:start w:val="1"/>
      <w:numFmt w:val="bullet"/>
      <w:lvlText w:val=""/>
      <w:lvlJc w:val="left"/>
      <w:pPr>
        <w:ind w:left="720" w:hanging="360"/>
      </w:pPr>
      <w:rPr>
        <w:rFonts w:ascii="Symbol" w:hAnsi="Symbol" w:hint="default"/>
      </w:rPr>
    </w:lvl>
    <w:lvl w:ilvl="1" w:tplc="9386E6D6">
      <w:start w:val="1"/>
      <w:numFmt w:val="bullet"/>
      <w:lvlText w:val="o"/>
      <w:lvlJc w:val="left"/>
      <w:pPr>
        <w:ind w:left="1440" w:hanging="360"/>
      </w:pPr>
      <w:rPr>
        <w:rFonts w:ascii="Courier New" w:hAnsi="Courier New" w:hint="default"/>
      </w:rPr>
    </w:lvl>
    <w:lvl w:ilvl="2" w:tplc="62748F7E">
      <w:start w:val="1"/>
      <w:numFmt w:val="bullet"/>
      <w:lvlText w:val=""/>
      <w:lvlJc w:val="left"/>
      <w:pPr>
        <w:ind w:left="2160" w:hanging="360"/>
      </w:pPr>
      <w:rPr>
        <w:rFonts w:ascii="Wingdings" w:hAnsi="Wingdings" w:hint="default"/>
      </w:rPr>
    </w:lvl>
    <w:lvl w:ilvl="3" w:tplc="3ED00B4A">
      <w:start w:val="1"/>
      <w:numFmt w:val="bullet"/>
      <w:lvlText w:val=""/>
      <w:lvlJc w:val="left"/>
      <w:pPr>
        <w:ind w:left="2880" w:hanging="360"/>
      </w:pPr>
      <w:rPr>
        <w:rFonts w:ascii="Symbol" w:hAnsi="Symbol" w:hint="default"/>
      </w:rPr>
    </w:lvl>
    <w:lvl w:ilvl="4" w:tplc="73D67C5E">
      <w:start w:val="1"/>
      <w:numFmt w:val="bullet"/>
      <w:lvlText w:val="o"/>
      <w:lvlJc w:val="left"/>
      <w:pPr>
        <w:ind w:left="3600" w:hanging="360"/>
      </w:pPr>
      <w:rPr>
        <w:rFonts w:ascii="Courier New" w:hAnsi="Courier New" w:hint="default"/>
      </w:rPr>
    </w:lvl>
    <w:lvl w:ilvl="5" w:tplc="8FA2A0F0">
      <w:start w:val="1"/>
      <w:numFmt w:val="bullet"/>
      <w:lvlText w:val=""/>
      <w:lvlJc w:val="left"/>
      <w:pPr>
        <w:ind w:left="4320" w:hanging="360"/>
      </w:pPr>
      <w:rPr>
        <w:rFonts w:ascii="Wingdings" w:hAnsi="Wingdings" w:hint="default"/>
      </w:rPr>
    </w:lvl>
    <w:lvl w:ilvl="6" w:tplc="C494196A">
      <w:start w:val="1"/>
      <w:numFmt w:val="bullet"/>
      <w:lvlText w:val=""/>
      <w:lvlJc w:val="left"/>
      <w:pPr>
        <w:ind w:left="5040" w:hanging="360"/>
      </w:pPr>
      <w:rPr>
        <w:rFonts w:ascii="Symbol" w:hAnsi="Symbol" w:hint="default"/>
      </w:rPr>
    </w:lvl>
    <w:lvl w:ilvl="7" w:tplc="6EE6FEEC">
      <w:start w:val="1"/>
      <w:numFmt w:val="bullet"/>
      <w:lvlText w:val="o"/>
      <w:lvlJc w:val="left"/>
      <w:pPr>
        <w:ind w:left="5760" w:hanging="360"/>
      </w:pPr>
      <w:rPr>
        <w:rFonts w:ascii="Courier New" w:hAnsi="Courier New" w:hint="default"/>
      </w:rPr>
    </w:lvl>
    <w:lvl w:ilvl="8" w:tplc="501E1B48">
      <w:start w:val="1"/>
      <w:numFmt w:val="bullet"/>
      <w:lvlText w:val=""/>
      <w:lvlJc w:val="left"/>
      <w:pPr>
        <w:ind w:left="6480" w:hanging="360"/>
      </w:pPr>
      <w:rPr>
        <w:rFonts w:ascii="Wingdings" w:hAnsi="Wingdings" w:hint="default"/>
      </w:rPr>
    </w:lvl>
  </w:abstractNum>
  <w:abstractNum w:abstractNumId="9" w15:restartNumberingAfterBreak="0">
    <w:nsid w:val="61A84664"/>
    <w:multiLevelType w:val="hybridMultilevel"/>
    <w:tmpl w:val="66AE879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6F6A07E5"/>
    <w:multiLevelType w:val="hybridMultilevel"/>
    <w:tmpl w:val="672ED8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E56F18"/>
    <w:multiLevelType w:val="hybridMultilevel"/>
    <w:tmpl w:val="206C1952"/>
    <w:lvl w:ilvl="0" w:tplc="A0E02A64">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7"/>
  </w:num>
  <w:num w:numId="4">
    <w:abstractNumId w:val="3"/>
  </w:num>
  <w:num w:numId="5">
    <w:abstractNumId w:val="2"/>
  </w:num>
  <w:num w:numId="6">
    <w:abstractNumId w:val="4"/>
  </w:num>
  <w:num w:numId="7">
    <w:abstractNumId w:val="11"/>
  </w:num>
  <w:num w:numId="8">
    <w:abstractNumId w:val="5"/>
  </w:num>
  <w:num w:numId="9">
    <w:abstractNumId w:val="6"/>
  </w:num>
  <w:num w:numId="10">
    <w:abstractNumId w:val="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0MLKwMDc2NDWxMDZR0lEKTi0uzszPAykwrAUA6uVsESwAAAA="/>
  </w:docVars>
  <w:rsids>
    <w:rsidRoot w:val="001628AD"/>
    <w:rsid w:val="00032DD9"/>
    <w:rsid w:val="0003553F"/>
    <w:rsid w:val="00040CA4"/>
    <w:rsid w:val="00042A9D"/>
    <w:rsid w:val="00044C65"/>
    <w:rsid w:val="00083C14"/>
    <w:rsid w:val="000A06F4"/>
    <w:rsid w:val="000B19CB"/>
    <w:rsid w:val="000F0134"/>
    <w:rsid w:val="000F6DC5"/>
    <w:rsid w:val="00132C7A"/>
    <w:rsid w:val="0013561E"/>
    <w:rsid w:val="00143856"/>
    <w:rsid w:val="0014404D"/>
    <w:rsid w:val="00151718"/>
    <w:rsid w:val="00156C33"/>
    <w:rsid w:val="001628AD"/>
    <w:rsid w:val="0016601C"/>
    <w:rsid w:val="0018071C"/>
    <w:rsid w:val="00182E80"/>
    <w:rsid w:val="0018610B"/>
    <w:rsid w:val="00186875"/>
    <w:rsid w:val="00186DCF"/>
    <w:rsid w:val="00194947"/>
    <w:rsid w:val="001A28DE"/>
    <w:rsid w:val="001B241A"/>
    <w:rsid w:val="001C6304"/>
    <w:rsid w:val="001D4F12"/>
    <w:rsid w:val="001F088C"/>
    <w:rsid w:val="002024F6"/>
    <w:rsid w:val="0021205E"/>
    <w:rsid w:val="002161C4"/>
    <w:rsid w:val="002202FE"/>
    <w:rsid w:val="00243DFA"/>
    <w:rsid w:val="00256EC7"/>
    <w:rsid w:val="00262502"/>
    <w:rsid w:val="00270F68"/>
    <w:rsid w:val="00271AFF"/>
    <w:rsid w:val="00273827"/>
    <w:rsid w:val="002C0EAD"/>
    <w:rsid w:val="002C49F1"/>
    <w:rsid w:val="002D4C64"/>
    <w:rsid w:val="002D5B27"/>
    <w:rsid w:val="002F2228"/>
    <w:rsid w:val="002F4360"/>
    <w:rsid w:val="00306A26"/>
    <w:rsid w:val="00310254"/>
    <w:rsid w:val="00314AFC"/>
    <w:rsid w:val="00315F29"/>
    <w:rsid w:val="0031660A"/>
    <w:rsid w:val="003229CE"/>
    <w:rsid w:val="00326B9F"/>
    <w:rsid w:val="003448B0"/>
    <w:rsid w:val="00350460"/>
    <w:rsid w:val="00351ADC"/>
    <w:rsid w:val="0036328E"/>
    <w:rsid w:val="00366727"/>
    <w:rsid w:val="00392058"/>
    <w:rsid w:val="003A6EA8"/>
    <w:rsid w:val="003C285B"/>
    <w:rsid w:val="003E15B6"/>
    <w:rsid w:val="003F14CE"/>
    <w:rsid w:val="00420579"/>
    <w:rsid w:val="004230D0"/>
    <w:rsid w:val="00437E75"/>
    <w:rsid w:val="00444C36"/>
    <w:rsid w:val="004579C8"/>
    <w:rsid w:val="004663C3"/>
    <w:rsid w:val="004A3AFA"/>
    <w:rsid w:val="004A7DD2"/>
    <w:rsid w:val="004B0F98"/>
    <w:rsid w:val="004B4406"/>
    <w:rsid w:val="004B49CF"/>
    <w:rsid w:val="004E09D8"/>
    <w:rsid w:val="004E13AF"/>
    <w:rsid w:val="004F1DDC"/>
    <w:rsid w:val="004F4125"/>
    <w:rsid w:val="00501807"/>
    <w:rsid w:val="00502514"/>
    <w:rsid w:val="00511E43"/>
    <w:rsid w:val="005552D6"/>
    <w:rsid w:val="0057220A"/>
    <w:rsid w:val="00572FFD"/>
    <w:rsid w:val="005955C1"/>
    <w:rsid w:val="005B2337"/>
    <w:rsid w:val="005B747F"/>
    <w:rsid w:val="005F1C4E"/>
    <w:rsid w:val="005F2420"/>
    <w:rsid w:val="005F2FC5"/>
    <w:rsid w:val="00602F02"/>
    <w:rsid w:val="00614331"/>
    <w:rsid w:val="00626339"/>
    <w:rsid w:val="00640392"/>
    <w:rsid w:val="00666537"/>
    <w:rsid w:val="006720D4"/>
    <w:rsid w:val="006721D8"/>
    <w:rsid w:val="0067265F"/>
    <w:rsid w:val="00687938"/>
    <w:rsid w:val="0069657E"/>
    <w:rsid w:val="00697FA2"/>
    <w:rsid w:val="006A722C"/>
    <w:rsid w:val="006B2170"/>
    <w:rsid w:val="006B7964"/>
    <w:rsid w:val="006C0E0F"/>
    <w:rsid w:val="006C3054"/>
    <w:rsid w:val="006D2646"/>
    <w:rsid w:val="006D413D"/>
    <w:rsid w:val="006D7747"/>
    <w:rsid w:val="006E063F"/>
    <w:rsid w:val="007016CE"/>
    <w:rsid w:val="007140EF"/>
    <w:rsid w:val="00715717"/>
    <w:rsid w:val="00716709"/>
    <w:rsid w:val="00716937"/>
    <w:rsid w:val="0072007E"/>
    <w:rsid w:val="00722E50"/>
    <w:rsid w:val="007258F2"/>
    <w:rsid w:val="007658A7"/>
    <w:rsid w:val="007A235B"/>
    <w:rsid w:val="007A3BA5"/>
    <w:rsid w:val="007D6F01"/>
    <w:rsid w:val="0080494B"/>
    <w:rsid w:val="00805BB3"/>
    <w:rsid w:val="00807CE5"/>
    <w:rsid w:val="0081161D"/>
    <w:rsid w:val="00820407"/>
    <w:rsid w:val="00861DF2"/>
    <w:rsid w:val="008708DD"/>
    <w:rsid w:val="008861B5"/>
    <w:rsid w:val="008C2CE3"/>
    <w:rsid w:val="008C5F47"/>
    <w:rsid w:val="008D2BF0"/>
    <w:rsid w:val="008F6995"/>
    <w:rsid w:val="008F75A1"/>
    <w:rsid w:val="00917630"/>
    <w:rsid w:val="00920B56"/>
    <w:rsid w:val="00927D33"/>
    <w:rsid w:val="009549F9"/>
    <w:rsid w:val="00954FA3"/>
    <w:rsid w:val="009615CC"/>
    <w:rsid w:val="00990637"/>
    <w:rsid w:val="009A22FE"/>
    <w:rsid w:val="009A6A09"/>
    <w:rsid w:val="009C73CA"/>
    <w:rsid w:val="009F3638"/>
    <w:rsid w:val="00A134D8"/>
    <w:rsid w:val="00A21916"/>
    <w:rsid w:val="00A22792"/>
    <w:rsid w:val="00A305AC"/>
    <w:rsid w:val="00A403EA"/>
    <w:rsid w:val="00A45D29"/>
    <w:rsid w:val="00A4701F"/>
    <w:rsid w:val="00A52593"/>
    <w:rsid w:val="00A52B9B"/>
    <w:rsid w:val="00A56DC8"/>
    <w:rsid w:val="00A8454B"/>
    <w:rsid w:val="00A9422D"/>
    <w:rsid w:val="00AA11A1"/>
    <w:rsid w:val="00AB7CE9"/>
    <w:rsid w:val="00AC648C"/>
    <w:rsid w:val="00AC675A"/>
    <w:rsid w:val="00AD1F02"/>
    <w:rsid w:val="00AD6B39"/>
    <w:rsid w:val="00AE4C44"/>
    <w:rsid w:val="00AE6FA1"/>
    <w:rsid w:val="00AF13BD"/>
    <w:rsid w:val="00B02114"/>
    <w:rsid w:val="00B139A7"/>
    <w:rsid w:val="00B14B31"/>
    <w:rsid w:val="00B16794"/>
    <w:rsid w:val="00B1795D"/>
    <w:rsid w:val="00B21AB9"/>
    <w:rsid w:val="00B36353"/>
    <w:rsid w:val="00B6523F"/>
    <w:rsid w:val="00B66780"/>
    <w:rsid w:val="00B7058E"/>
    <w:rsid w:val="00B844C1"/>
    <w:rsid w:val="00BA0CD5"/>
    <w:rsid w:val="00BC2911"/>
    <w:rsid w:val="00BD623B"/>
    <w:rsid w:val="00BE2441"/>
    <w:rsid w:val="00C00C79"/>
    <w:rsid w:val="00C20FE2"/>
    <w:rsid w:val="00C21A6C"/>
    <w:rsid w:val="00C32997"/>
    <w:rsid w:val="00C36819"/>
    <w:rsid w:val="00C52077"/>
    <w:rsid w:val="00C63BDD"/>
    <w:rsid w:val="00C91C68"/>
    <w:rsid w:val="00CA46AF"/>
    <w:rsid w:val="00CB1530"/>
    <w:rsid w:val="00CC1B1A"/>
    <w:rsid w:val="00CD1B2A"/>
    <w:rsid w:val="00CD41CE"/>
    <w:rsid w:val="00D046E5"/>
    <w:rsid w:val="00D22503"/>
    <w:rsid w:val="00D27F81"/>
    <w:rsid w:val="00D3491E"/>
    <w:rsid w:val="00D35CC1"/>
    <w:rsid w:val="00D469AD"/>
    <w:rsid w:val="00D5207F"/>
    <w:rsid w:val="00D82058"/>
    <w:rsid w:val="00D87C34"/>
    <w:rsid w:val="00DA0CA9"/>
    <w:rsid w:val="00DA2A5F"/>
    <w:rsid w:val="00DA3891"/>
    <w:rsid w:val="00DE1A81"/>
    <w:rsid w:val="00DE7D8E"/>
    <w:rsid w:val="00E103D4"/>
    <w:rsid w:val="00E53DFB"/>
    <w:rsid w:val="00E6700C"/>
    <w:rsid w:val="00E714AB"/>
    <w:rsid w:val="00E76903"/>
    <w:rsid w:val="00E82859"/>
    <w:rsid w:val="00E90192"/>
    <w:rsid w:val="00EA136D"/>
    <w:rsid w:val="00ED1D5D"/>
    <w:rsid w:val="00ED2DA6"/>
    <w:rsid w:val="00EE5DDF"/>
    <w:rsid w:val="00EF2F0A"/>
    <w:rsid w:val="00EF6122"/>
    <w:rsid w:val="00EF6A45"/>
    <w:rsid w:val="00F01E15"/>
    <w:rsid w:val="00F04816"/>
    <w:rsid w:val="00F102C6"/>
    <w:rsid w:val="00F1441E"/>
    <w:rsid w:val="00F2067C"/>
    <w:rsid w:val="00F40495"/>
    <w:rsid w:val="00F433EB"/>
    <w:rsid w:val="00F478B4"/>
    <w:rsid w:val="00F52221"/>
    <w:rsid w:val="00F65D8A"/>
    <w:rsid w:val="00F81F4D"/>
    <w:rsid w:val="00F82AD4"/>
    <w:rsid w:val="00F9426E"/>
    <w:rsid w:val="00FD4EC6"/>
    <w:rsid w:val="00FE609B"/>
    <w:rsid w:val="00FF1594"/>
    <w:rsid w:val="00FF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1B0E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9C8"/>
    <w:pPr>
      <w:jc w:val="both"/>
    </w:pPr>
  </w:style>
  <w:style w:type="paragraph" w:styleId="Heading1">
    <w:name w:val="heading 1"/>
    <w:basedOn w:val="Normal"/>
    <w:next w:val="Normal"/>
    <w:link w:val="Heading1Char"/>
    <w:uiPriority w:val="9"/>
    <w:qFormat/>
    <w:rsid w:val="00F2067C"/>
    <w:pPr>
      <w:keepNext/>
      <w:keepLines/>
      <w:numPr>
        <w:numId w:val="8"/>
      </w:numPr>
      <w:spacing w:before="240" w:after="0"/>
      <w:ind w:left="450" w:hanging="450"/>
      <w:outlineLvl w:val="0"/>
    </w:pPr>
    <w:rPr>
      <w:rFonts w:eastAsiaTheme="majorEastAsia" w:cstheme="minorHAnsi"/>
      <w:b/>
      <w:bCs/>
      <w:sz w:val="28"/>
      <w:szCs w:val="28"/>
    </w:rPr>
  </w:style>
  <w:style w:type="paragraph" w:styleId="Heading2">
    <w:name w:val="heading 2"/>
    <w:basedOn w:val="Normal"/>
    <w:next w:val="Normal"/>
    <w:link w:val="Heading2Char"/>
    <w:uiPriority w:val="9"/>
    <w:unhideWhenUsed/>
    <w:qFormat/>
    <w:rsid w:val="00DA2A5F"/>
    <w:pPr>
      <w:keepNext/>
      <w:keepLines/>
      <w:spacing w:before="40" w:after="120" w:line="240" w:lineRule="auto"/>
      <w:ind w:left="-58" w:right="115"/>
      <w:outlineLvl w:val="1"/>
    </w:pPr>
    <w:rPr>
      <w:rFonts w:eastAsia="Times New Roman" w:cstheme="minorHAnsi"/>
      <w:b/>
      <w:smallCaps/>
      <w:sz w:val="24"/>
      <w:szCs w:val="24"/>
    </w:rPr>
  </w:style>
  <w:style w:type="paragraph" w:styleId="Heading3">
    <w:name w:val="heading 3"/>
    <w:basedOn w:val="Normal"/>
    <w:next w:val="Normal"/>
    <w:link w:val="Heading3Char"/>
    <w:uiPriority w:val="9"/>
    <w:unhideWhenUsed/>
    <w:qFormat/>
    <w:rsid w:val="00E53DFB"/>
    <w:pPr>
      <w:keepNext/>
      <w:keepLines/>
      <w:tabs>
        <w:tab w:val="left" w:pos="900"/>
      </w:tabs>
      <w:spacing w:before="40" w:after="0"/>
      <w:ind w:left="-90"/>
      <w:outlineLvl w:val="2"/>
    </w:pPr>
    <w:rPr>
      <w:rFonts w:eastAsiaTheme="majorEastAsia" w:cstheme="minorHAnsi"/>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 (numbered (a)),Numbered List Paragraph,References,ReferencesCxSpLast,List Paragraph1,Liste 1,Medium Grid 1 - Accent 21,List Paragraph nowy,123 List Paragraph,Main numbered paragraph,List_Paragraph,Multilevel para_II"/>
    <w:basedOn w:val="Normal"/>
    <w:link w:val="ListParagraphChar"/>
    <w:uiPriority w:val="34"/>
    <w:qFormat/>
    <w:rsid w:val="001628AD"/>
    <w:pPr>
      <w:ind w:left="720"/>
      <w:contextualSpacing/>
    </w:pPr>
  </w:style>
  <w:style w:type="character" w:customStyle="1" w:styleId="ListParagraphChar">
    <w:name w:val="List Paragraph Char"/>
    <w:aliases w:val="Bullets Char,List Paragraph (numbered (a)) Char,Numbered List Paragraph Char,References Char,ReferencesCxSpLast Char,List Paragraph1 Char,Liste 1 Char,Medium Grid 1 - Accent 21 Char,List Paragraph nowy Char,123 List Paragraph Char"/>
    <w:basedOn w:val="DefaultParagraphFont"/>
    <w:link w:val="ListParagraph"/>
    <w:uiPriority w:val="34"/>
    <w:qFormat/>
    <w:rsid w:val="001628AD"/>
  </w:style>
  <w:style w:type="paragraph" w:styleId="FootnoteText">
    <w:name w:val="footnote text"/>
    <w:aliases w:val="single space,footnote text,fn,FOOTNOTES,ALTS FOOTNOTE,Geneva 9,Font: Geneva 9,Boston 10,f,Footnote Text Char Char Char Char Char Char,WB-Fußnotentext,Fußnote,ft,ADB,WB-Fuﬂnotentext,Fuﬂnote,Note de bas de page2,Footnote Text Char1,Char,5_G"/>
    <w:basedOn w:val="Normal"/>
    <w:link w:val="FootnoteTextChar"/>
    <w:uiPriority w:val="99"/>
    <w:unhideWhenUsed/>
    <w:qFormat/>
    <w:rsid w:val="001628AD"/>
    <w:pPr>
      <w:spacing w:after="0" w:line="240" w:lineRule="auto"/>
      <w:ind w:left="-60" w:right="120"/>
    </w:pPr>
    <w:rPr>
      <w:rFonts w:ascii="Times New Roman" w:eastAsiaTheme="minorEastAsia" w:hAnsi="Times New Roman"/>
      <w:sz w:val="20"/>
      <w:szCs w:val="20"/>
    </w:rPr>
  </w:style>
  <w:style w:type="character" w:customStyle="1" w:styleId="FootnoteTextChar">
    <w:name w:val="Footnote Text Char"/>
    <w:aliases w:val="single space Char,footnote text Char,fn Char,FOOTNOTES Char,ALTS FOOTNOTE Char,Geneva 9 Char,Font: Geneva 9 Char,Boston 10 Char,f Char,Footnote Text Char Char Char Char Char Char Char,WB-Fußnotentext Char,Fußnote Char,ft Char,ADB Char"/>
    <w:basedOn w:val="DefaultParagraphFont"/>
    <w:link w:val="FootnoteText"/>
    <w:uiPriority w:val="99"/>
    <w:rsid w:val="001628AD"/>
    <w:rPr>
      <w:rFonts w:ascii="Times New Roman" w:eastAsiaTheme="minorEastAsia" w:hAnsi="Times New Roman"/>
      <w:sz w:val="20"/>
      <w:szCs w:val="20"/>
    </w:rPr>
  </w:style>
  <w:style w:type="character" w:styleId="FootnoteReference">
    <w:name w:val="footnote reference"/>
    <w:aliases w:val="16 Point,Superscript 6 Point,ftref,BVI fnr, BVI fnr,fr,Footnote Reference Number,Char Char,Ref,de nota al pie,Used by Word for Help footnote symbols,Car Car Char Car Char Car Car Char Car Char Char,SUPERS,BVI f,Footnote,Char Char1,FO"/>
    <w:basedOn w:val="DefaultParagraphFont"/>
    <w:uiPriority w:val="99"/>
    <w:unhideWhenUsed/>
    <w:rsid w:val="001628AD"/>
    <w:rPr>
      <w:vertAlign w:val="superscript"/>
    </w:rPr>
  </w:style>
  <w:style w:type="character" w:styleId="Hyperlink">
    <w:name w:val="Hyperlink"/>
    <w:basedOn w:val="DefaultParagraphFont"/>
    <w:uiPriority w:val="99"/>
    <w:unhideWhenUsed/>
    <w:rsid w:val="001628AD"/>
    <w:rPr>
      <w:color w:val="0563C1" w:themeColor="hyperlink"/>
      <w:u w:val="single"/>
    </w:rPr>
  </w:style>
  <w:style w:type="character" w:customStyle="1" w:styleId="Heading2Char">
    <w:name w:val="Heading 2 Char"/>
    <w:basedOn w:val="DefaultParagraphFont"/>
    <w:link w:val="Heading2"/>
    <w:uiPriority w:val="9"/>
    <w:rsid w:val="00DA2A5F"/>
    <w:rPr>
      <w:rFonts w:eastAsia="Times New Roman" w:cstheme="minorHAnsi"/>
      <w:b/>
      <w:smallCaps/>
      <w:sz w:val="24"/>
      <w:szCs w:val="24"/>
    </w:rPr>
  </w:style>
  <w:style w:type="paragraph" w:customStyle="1" w:styleId="Default">
    <w:name w:val="Default"/>
    <w:rsid w:val="001628AD"/>
    <w:pPr>
      <w:autoSpaceDE w:val="0"/>
      <w:autoSpaceDN w:val="0"/>
      <w:adjustRightInd w:val="0"/>
      <w:spacing w:after="0" w:line="240" w:lineRule="auto"/>
    </w:pPr>
    <w:rPr>
      <w:rFonts w:ascii="Trebuchet MS" w:eastAsiaTheme="minorEastAsia" w:hAnsi="Trebuchet MS" w:cs="Trebuchet MS"/>
      <w:color w:val="000000"/>
      <w:sz w:val="24"/>
      <w:szCs w:val="24"/>
    </w:rPr>
  </w:style>
  <w:style w:type="table" w:styleId="TableGrid">
    <w:name w:val="Table Grid"/>
    <w:basedOn w:val="TableNormal"/>
    <w:uiPriority w:val="39"/>
    <w:rsid w:val="00162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2067C"/>
    <w:rPr>
      <w:rFonts w:eastAsiaTheme="majorEastAsia" w:cstheme="minorHAnsi"/>
      <w:b/>
      <w:bCs/>
      <w:sz w:val="28"/>
      <w:szCs w:val="28"/>
    </w:rPr>
  </w:style>
  <w:style w:type="paragraph" w:styleId="BalloonText">
    <w:name w:val="Balloon Text"/>
    <w:basedOn w:val="Normal"/>
    <w:link w:val="BalloonTextChar"/>
    <w:uiPriority w:val="99"/>
    <w:semiHidden/>
    <w:unhideWhenUsed/>
    <w:rsid w:val="001628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8AD"/>
    <w:rPr>
      <w:rFonts w:ascii="Segoe UI" w:hAnsi="Segoe UI" w:cs="Segoe UI"/>
      <w:sz w:val="18"/>
      <w:szCs w:val="18"/>
    </w:rPr>
  </w:style>
  <w:style w:type="character" w:styleId="CommentReference">
    <w:name w:val="annotation reference"/>
    <w:basedOn w:val="DefaultParagraphFont"/>
    <w:uiPriority w:val="99"/>
    <w:semiHidden/>
    <w:unhideWhenUsed/>
    <w:rsid w:val="004B0F98"/>
    <w:rPr>
      <w:sz w:val="16"/>
      <w:szCs w:val="16"/>
    </w:rPr>
  </w:style>
  <w:style w:type="paragraph" w:styleId="CommentText">
    <w:name w:val="annotation text"/>
    <w:basedOn w:val="Normal"/>
    <w:link w:val="CommentTextChar"/>
    <w:uiPriority w:val="99"/>
    <w:semiHidden/>
    <w:unhideWhenUsed/>
    <w:rsid w:val="004B0F98"/>
    <w:pPr>
      <w:spacing w:line="240" w:lineRule="auto"/>
    </w:pPr>
    <w:rPr>
      <w:sz w:val="20"/>
      <w:szCs w:val="20"/>
    </w:rPr>
  </w:style>
  <w:style w:type="character" w:customStyle="1" w:styleId="CommentTextChar">
    <w:name w:val="Comment Text Char"/>
    <w:basedOn w:val="DefaultParagraphFont"/>
    <w:link w:val="CommentText"/>
    <w:uiPriority w:val="99"/>
    <w:semiHidden/>
    <w:rsid w:val="004B0F98"/>
    <w:rPr>
      <w:sz w:val="20"/>
      <w:szCs w:val="20"/>
    </w:rPr>
  </w:style>
  <w:style w:type="paragraph" w:styleId="CommentSubject">
    <w:name w:val="annotation subject"/>
    <w:basedOn w:val="CommentText"/>
    <w:next w:val="CommentText"/>
    <w:link w:val="CommentSubjectChar"/>
    <w:uiPriority w:val="99"/>
    <w:semiHidden/>
    <w:unhideWhenUsed/>
    <w:rsid w:val="004B0F98"/>
    <w:rPr>
      <w:b/>
      <w:bCs/>
    </w:rPr>
  </w:style>
  <w:style w:type="character" w:customStyle="1" w:styleId="CommentSubjectChar">
    <w:name w:val="Comment Subject Char"/>
    <w:basedOn w:val="CommentTextChar"/>
    <w:link w:val="CommentSubject"/>
    <w:uiPriority w:val="99"/>
    <w:semiHidden/>
    <w:rsid w:val="004B0F98"/>
    <w:rPr>
      <w:b/>
      <w:bCs/>
      <w:sz w:val="20"/>
      <w:szCs w:val="20"/>
    </w:rPr>
  </w:style>
  <w:style w:type="paragraph" w:customStyle="1" w:styleId="Bullet">
    <w:name w:val="Bullet"/>
    <w:basedOn w:val="ListParagraph"/>
    <w:link w:val="BulletChar"/>
    <w:qFormat/>
    <w:rsid w:val="00C00C79"/>
    <w:pPr>
      <w:numPr>
        <w:numId w:val="7"/>
      </w:numPr>
      <w:spacing w:after="240"/>
    </w:pPr>
    <w:rPr>
      <w:rFonts w:cstheme="minorHAnsi"/>
    </w:rPr>
  </w:style>
  <w:style w:type="character" w:customStyle="1" w:styleId="Heading3Char">
    <w:name w:val="Heading 3 Char"/>
    <w:basedOn w:val="DefaultParagraphFont"/>
    <w:link w:val="Heading3"/>
    <w:uiPriority w:val="9"/>
    <w:rsid w:val="00E53DFB"/>
    <w:rPr>
      <w:rFonts w:eastAsiaTheme="majorEastAsia" w:cstheme="minorHAnsi"/>
      <w:b/>
      <w:bCs/>
      <w:smallCaps/>
    </w:rPr>
  </w:style>
  <w:style w:type="character" w:customStyle="1" w:styleId="BulletChar">
    <w:name w:val="Bullet Char"/>
    <w:basedOn w:val="ListParagraphChar"/>
    <w:link w:val="Bullet"/>
    <w:rsid w:val="00C00C79"/>
    <w:rPr>
      <w:rFonts w:cstheme="minorHAnsi"/>
    </w:rPr>
  </w:style>
  <w:style w:type="paragraph" w:customStyle="1" w:styleId="L3text">
    <w:name w:val="L3 text"/>
    <w:basedOn w:val="Normal"/>
    <w:link w:val="L3textChar"/>
    <w:qFormat/>
    <w:rsid w:val="00E53DFB"/>
    <w:pPr>
      <w:ind w:left="270"/>
    </w:pPr>
    <w:rPr>
      <w:rFonts w:cstheme="minorHAnsi"/>
    </w:rPr>
  </w:style>
  <w:style w:type="character" w:customStyle="1" w:styleId="L3textChar">
    <w:name w:val="L3 text Char"/>
    <w:basedOn w:val="DefaultParagraphFont"/>
    <w:link w:val="L3text"/>
    <w:rsid w:val="00E53DFB"/>
    <w:rPr>
      <w:rFonts w:cstheme="minorHAnsi"/>
    </w:rPr>
  </w:style>
  <w:style w:type="character" w:styleId="UnresolvedMention">
    <w:name w:val="Unresolved Mention"/>
    <w:basedOn w:val="DefaultParagraphFont"/>
    <w:uiPriority w:val="99"/>
    <w:semiHidden/>
    <w:unhideWhenUsed/>
    <w:rsid w:val="006B7964"/>
    <w:rPr>
      <w:color w:val="605E5C"/>
      <w:shd w:val="clear" w:color="auto" w:fill="E1DFDD"/>
    </w:rPr>
  </w:style>
  <w:style w:type="character" w:styleId="FollowedHyperlink">
    <w:name w:val="FollowedHyperlink"/>
    <w:basedOn w:val="DefaultParagraphFont"/>
    <w:uiPriority w:val="99"/>
    <w:semiHidden/>
    <w:unhideWhenUsed/>
    <w:rsid w:val="00E6700C"/>
    <w:rPr>
      <w:color w:val="954F72" w:themeColor="followedHyperlink"/>
      <w:u w:val="single"/>
    </w:rPr>
  </w:style>
  <w:style w:type="paragraph" w:styleId="BodyText">
    <w:name w:val="Body Text"/>
    <w:link w:val="BodyTextChar"/>
    <w:rsid w:val="00F04816"/>
    <w:pPr>
      <w:spacing w:after="120" w:line="240" w:lineRule="auto"/>
      <w:jc w:val="both"/>
    </w:pPr>
    <w:rPr>
      <w:rFonts w:ascii="Book Antiqua" w:eastAsia="Times New Roman" w:hAnsi="Book Antiqua" w:cs="Times New Roman"/>
      <w:szCs w:val="20"/>
      <w:lang w:val="en-AU"/>
    </w:rPr>
  </w:style>
  <w:style w:type="character" w:customStyle="1" w:styleId="BodyTextChar">
    <w:name w:val="Body Text Char"/>
    <w:basedOn w:val="DefaultParagraphFont"/>
    <w:link w:val="BodyText"/>
    <w:rsid w:val="00F04816"/>
    <w:rPr>
      <w:rFonts w:ascii="Book Antiqua" w:eastAsia="Times New Roman" w:hAnsi="Book Antiqua" w:cs="Times New Roman"/>
      <w:szCs w:val="20"/>
      <w:lang w:val="en-AU"/>
    </w:rPr>
  </w:style>
  <w:style w:type="paragraph" w:styleId="Revision">
    <w:name w:val="Revision"/>
    <w:hidden/>
    <w:uiPriority w:val="99"/>
    <w:semiHidden/>
    <w:rsid w:val="008861B5"/>
    <w:pPr>
      <w:spacing w:after="0" w:line="240" w:lineRule="auto"/>
    </w:pPr>
  </w:style>
  <w:style w:type="paragraph" w:styleId="Header">
    <w:name w:val="header"/>
    <w:basedOn w:val="Normal"/>
    <w:link w:val="HeaderChar"/>
    <w:uiPriority w:val="99"/>
    <w:unhideWhenUsed/>
    <w:rsid w:val="00270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F68"/>
  </w:style>
  <w:style w:type="paragraph" w:styleId="Footer">
    <w:name w:val="footer"/>
    <w:basedOn w:val="Normal"/>
    <w:link w:val="FooterChar"/>
    <w:uiPriority w:val="99"/>
    <w:unhideWhenUsed/>
    <w:rsid w:val="00270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790607">
      <w:bodyDiv w:val="1"/>
      <w:marLeft w:val="0"/>
      <w:marRight w:val="0"/>
      <w:marTop w:val="0"/>
      <w:marBottom w:val="0"/>
      <w:divBdr>
        <w:top w:val="none" w:sz="0" w:space="0" w:color="auto"/>
        <w:left w:val="none" w:sz="0" w:space="0" w:color="auto"/>
        <w:bottom w:val="none" w:sz="0" w:space="0" w:color="auto"/>
        <w:right w:val="none" w:sz="0" w:space="0" w:color="auto"/>
      </w:divBdr>
    </w:div>
    <w:div w:id="660740840">
      <w:bodyDiv w:val="1"/>
      <w:marLeft w:val="0"/>
      <w:marRight w:val="0"/>
      <w:marTop w:val="0"/>
      <w:marBottom w:val="0"/>
      <w:divBdr>
        <w:top w:val="none" w:sz="0" w:space="0" w:color="auto"/>
        <w:left w:val="none" w:sz="0" w:space="0" w:color="auto"/>
        <w:bottom w:val="none" w:sz="0" w:space="0" w:color="auto"/>
        <w:right w:val="none" w:sz="0" w:space="0" w:color="auto"/>
      </w:divBdr>
    </w:div>
    <w:div w:id="890965722">
      <w:bodyDiv w:val="1"/>
      <w:marLeft w:val="0"/>
      <w:marRight w:val="0"/>
      <w:marTop w:val="0"/>
      <w:marBottom w:val="0"/>
      <w:divBdr>
        <w:top w:val="none" w:sz="0" w:space="0" w:color="auto"/>
        <w:left w:val="none" w:sz="0" w:space="0" w:color="auto"/>
        <w:bottom w:val="none" w:sz="0" w:space="0" w:color="auto"/>
        <w:right w:val="none" w:sz="0" w:space="0" w:color="auto"/>
      </w:divBdr>
    </w:div>
    <w:div w:id="1011108858">
      <w:bodyDiv w:val="1"/>
      <w:marLeft w:val="0"/>
      <w:marRight w:val="0"/>
      <w:marTop w:val="0"/>
      <w:marBottom w:val="0"/>
      <w:divBdr>
        <w:top w:val="none" w:sz="0" w:space="0" w:color="auto"/>
        <w:left w:val="none" w:sz="0" w:space="0" w:color="auto"/>
        <w:bottom w:val="none" w:sz="0" w:space="0" w:color="auto"/>
        <w:right w:val="none" w:sz="0" w:space="0" w:color="auto"/>
      </w:divBdr>
    </w:div>
    <w:div w:id="1125733574">
      <w:bodyDiv w:val="1"/>
      <w:marLeft w:val="0"/>
      <w:marRight w:val="0"/>
      <w:marTop w:val="0"/>
      <w:marBottom w:val="0"/>
      <w:divBdr>
        <w:top w:val="none" w:sz="0" w:space="0" w:color="auto"/>
        <w:left w:val="none" w:sz="0" w:space="0" w:color="auto"/>
        <w:bottom w:val="none" w:sz="0" w:space="0" w:color="auto"/>
        <w:right w:val="none" w:sz="0" w:space="0" w:color="auto"/>
      </w:divBdr>
    </w:div>
    <w:div w:id="2097095035">
      <w:bodyDiv w:val="1"/>
      <w:marLeft w:val="0"/>
      <w:marRight w:val="0"/>
      <w:marTop w:val="0"/>
      <w:marBottom w:val="0"/>
      <w:divBdr>
        <w:top w:val="none" w:sz="0" w:space="0" w:color="auto"/>
        <w:left w:val="none" w:sz="0" w:space="0" w:color="auto"/>
        <w:bottom w:val="none" w:sz="0" w:space="0" w:color="auto"/>
        <w:right w:val="none" w:sz="0" w:space="0" w:color="auto"/>
      </w:divBdr>
    </w:div>
    <w:div w:id="214395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bank.org/en/projects-operations/environmental-and-social-framework/brief/environmental-and-social-standard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bat-alliance.org/" TargetMode="External"/><Relationship Id="rId2" Type="http://schemas.openxmlformats.org/officeDocument/2006/relationships/hyperlink" Target="http://www.ifc.org/performancestandards" TargetMode="External"/><Relationship Id="rId1" Type="http://schemas.openxmlformats.org/officeDocument/2006/relationships/hyperlink" Target="http://www.worldbank.org/en/projects-operations/environmental-and-social-framework/brief/environmental-and-social-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C9FF1-6695-438E-928D-E30B71B69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3330</Words>
  <Characters>18981</Characters>
  <Application>Microsoft Office Word</Application>
  <DocSecurity>0</DocSecurity>
  <Lines>158</Lines>
  <Paragraphs>44</Paragraphs>
  <ScaleCrop>false</ScaleCrop>
  <Company/>
  <LinksUpToDate>false</LinksUpToDate>
  <CharactersWithSpaces>22267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2021-07-29T21:52:00Z</dcterms:created>
  <dcterms:modified xsi:type="dcterms:W3CDTF">2021-07-29T21:53:00Z</dcterms:modified>
</cp:coreProperties>
</file>